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909" w:rsidRDefault="00CA6909" w:rsidP="00293368">
      <w:pPr>
        <w:rPr>
          <w:b/>
          <w:sz w:val="24"/>
          <w:szCs w:val="24"/>
          <w:lang w:val="en-US"/>
        </w:rPr>
      </w:pPr>
    </w:p>
    <w:p w:rsidR="00CA6909" w:rsidRPr="00207B36" w:rsidRDefault="00CA6909" w:rsidP="00207B36">
      <w:pPr>
        <w:spacing w:line="480" w:lineRule="auto"/>
        <w:jc w:val="center"/>
        <w:rPr>
          <w:rFonts w:ascii="Times New Roman" w:hAnsi="Times New Roman" w:cs="Times New Roman"/>
          <w:b/>
          <w:sz w:val="24"/>
          <w:szCs w:val="24"/>
          <w:lang w:val="en-US"/>
        </w:rPr>
      </w:pPr>
      <w:r w:rsidRPr="00207B36">
        <w:rPr>
          <w:rFonts w:ascii="Times New Roman" w:hAnsi="Times New Roman" w:cs="Times New Roman"/>
          <w:b/>
          <w:sz w:val="24"/>
          <w:szCs w:val="24"/>
          <w:lang w:val="en-US"/>
        </w:rPr>
        <w:t>BioGreen</w:t>
      </w:r>
      <w:r w:rsidR="001B6D79" w:rsidRPr="00207B36">
        <w:rPr>
          <w:rFonts w:ascii="Times New Roman" w:hAnsi="Times New Roman" w:cs="Times New Roman"/>
          <w:b/>
          <w:sz w:val="24"/>
          <w:szCs w:val="24"/>
          <w:lang w:val="en-US"/>
        </w:rPr>
        <w:t>: Bioeconomy for the future</w:t>
      </w:r>
    </w:p>
    <w:p w:rsidR="00CA6909" w:rsidRPr="00207B36" w:rsidRDefault="00CA6909" w:rsidP="00207B36">
      <w:pPr>
        <w:spacing w:line="480" w:lineRule="auto"/>
        <w:jc w:val="center"/>
        <w:rPr>
          <w:rFonts w:ascii="Times New Roman" w:hAnsi="Times New Roman" w:cs="Times New Roman"/>
          <w:b/>
          <w:sz w:val="24"/>
          <w:szCs w:val="24"/>
          <w:lang w:val="en-US"/>
        </w:rPr>
      </w:pPr>
      <w:r w:rsidRPr="00207B36">
        <w:rPr>
          <w:rFonts w:ascii="Times New Roman" w:hAnsi="Times New Roman" w:cs="Times New Roman"/>
          <w:b/>
          <w:noProof/>
          <w:sz w:val="24"/>
          <w:szCs w:val="24"/>
          <w:lang w:eastAsia="en-GB"/>
        </w:rPr>
        <w:drawing>
          <wp:inline distT="0" distB="0" distL="0" distR="0">
            <wp:extent cx="3962400" cy="2347815"/>
            <wp:effectExtent l="0" t="0" r="0" b="0"/>
            <wp:docPr id="8" name="Picture 8" descr="Image result for bio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oecono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6569" cy="2350285"/>
                    </a:xfrm>
                    <a:prstGeom prst="rect">
                      <a:avLst/>
                    </a:prstGeom>
                    <a:noFill/>
                    <a:ln>
                      <a:noFill/>
                    </a:ln>
                  </pic:spPr>
                </pic:pic>
              </a:graphicData>
            </a:graphic>
          </wp:inline>
        </w:drawing>
      </w:r>
    </w:p>
    <w:p w:rsidR="00CA6909" w:rsidRPr="00207B36" w:rsidRDefault="00CA6909" w:rsidP="00207B36">
      <w:pPr>
        <w:spacing w:line="480" w:lineRule="auto"/>
        <w:jc w:val="center"/>
        <w:rPr>
          <w:rFonts w:ascii="Times New Roman" w:hAnsi="Times New Roman" w:cs="Times New Roman"/>
          <w:b/>
          <w:sz w:val="24"/>
          <w:szCs w:val="24"/>
          <w:lang w:val="en-US"/>
        </w:rPr>
      </w:pPr>
      <w:r w:rsidRPr="00207B36">
        <w:rPr>
          <w:rFonts w:ascii="Times New Roman" w:hAnsi="Times New Roman" w:cs="Times New Roman"/>
          <w:b/>
          <w:noProof/>
          <w:sz w:val="24"/>
          <w:szCs w:val="24"/>
          <w:lang w:eastAsia="en-GB"/>
        </w:rPr>
        <w:drawing>
          <wp:inline distT="0" distB="0" distL="0" distR="0">
            <wp:extent cx="2905125" cy="2905125"/>
            <wp:effectExtent l="0" t="0" r="9525" b="9525"/>
            <wp:docPr id="14" name="Picture 14" descr="Image result for u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c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p>
    <w:p w:rsidR="00CA6909" w:rsidRPr="00207B36" w:rsidRDefault="00CA6909" w:rsidP="00207B36">
      <w:pPr>
        <w:spacing w:line="480" w:lineRule="auto"/>
        <w:jc w:val="center"/>
        <w:rPr>
          <w:rFonts w:ascii="Times New Roman" w:hAnsi="Times New Roman" w:cs="Times New Roman"/>
          <w:b/>
          <w:sz w:val="24"/>
          <w:szCs w:val="24"/>
          <w:lang w:val="en-US"/>
        </w:rPr>
      </w:pPr>
      <w:r w:rsidRPr="00207B36">
        <w:rPr>
          <w:rFonts w:ascii="Times New Roman" w:hAnsi="Times New Roman" w:cs="Times New Roman"/>
          <w:b/>
          <w:sz w:val="24"/>
          <w:szCs w:val="24"/>
          <w:lang w:val="en-US"/>
        </w:rPr>
        <w:t>At: University College Dublin</w:t>
      </w:r>
    </w:p>
    <w:p w:rsidR="00733730" w:rsidRPr="00207B36" w:rsidRDefault="00733730" w:rsidP="00207B36">
      <w:pPr>
        <w:spacing w:line="480" w:lineRule="auto"/>
        <w:jc w:val="center"/>
        <w:rPr>
          <w:rFonts w:ascii="Times New Roman" w:hAnsi="Times New Roman" w:cs="Times New Roman"/>
          <w:b/>
          <w:sz w:val="24"/>
          <w:szCs w:val="24"/>
          <w:lang w:val="en-US"/>
        </w:rPr>
      </w:pPr>
      <w:r w:rsidRPr="00207B36">
        <w:rPr>
          <w:rFonts w:ascii="Times New Roman" w:hAnsi="Times New Roman" w:cs="Times New Roman"/>
          <w:b/>
          <w:sz w:val="24"/>
          <w:szCs w:val="24"/>
          <w:lang w:val="en-US"/>
        </w:rPr>
        <w:t>By: Ashutosh Bagla</w:t>
      </w:r>
    </w:p>
    <w:p w:rsidR="004C1733" w:rsidRPr="00207B36" w:rsidRDefault="00CA6909" w:rsidP="00207B36">
      <w:pPr>
        <w:spacing w:line="480" w:lineRule="auto"/>
        <w:jc w:val="center"/>
        <w:rPr>
          <w:rFonts w:ascii="Times New Roman" w:hAnsi="Times New Roman" w:cs="Times New Roman"/>
          <w:b/>
          <w:sz w:val="24"/>
          <w:szCs w:val="24"/>
          <w:lang w:val="en-US"/>
        </w:rPr>
      </w:pPr>
      <w:r w:rsidRPr="00207B36">
        <w:rPr>
          <w:rFonts w:ascii="Times New Roman" w:hAnsi="Times New Roman" w:cs="Times New Roman"/>
          <w:b/>
          <w:sz w:val="24"/>
          <w:szCs w:val="24"/>
          <w:lang w:val="en-US"/>
        </w:rPr>
        <w:t>April 2017</w:t>
      </w:r>
    </w:p>
    <w:p w:rsidR="00207B36" w:rsidRDefault="00207B36" w:rsidP="00207B36">
      <w:pPr>
        <w:spacing w:line="480" w:lineRule="auto"/>
        <w:rPr>
          <w:rFonts w:ascii="Times New Roman" w:hAnsi="Times New Roman" w:cs="Times New Roman"/>
          <w:b/>
          <w:sz w:val="24"/>
          <w:szCs w:val="24"/>
          <w:lang w:val="en-US"/>
        </w:rPr>
      </w:pPr>
    </w:p>
    <w:p w:rsidR="00207B36" w:rsidRDefault="00207B36" w:rsidP="00207B36">
      <w:pPr>
        <w:spacing w:line="480" w:lineRule="auto"/>
        <w:rPr>
          <w:rFonts w:ascii="Times New Roman" w:hAnsi="Times New Roman" w:cs="Times New Roman"/>
          <w:b/>
          <w:sz w:val="24"/>
          <w:szCs w:val="24"/>
          <w:lang w:val="en-US"/>
        </w:rPr>
      </w:pPr>
    </w:p>
    <w:p w:rsidR="00BF01B0" w:rsidRPr="00207B36" w:rsidRDefault="00BF01B0" w:rsidP="00207B36">
      <w:pPr>
        <w:spacing w:line="480" w:lineRule="auto"/>
        <w:rPr>
          <w:rFonts w:ascii="Times New Roman" w:hAnsi="Times New Roman" w:cs="Times New Roman"/>
          <w:b/>
          <w:sz w:val="24"/>
          <w:szCs w:val="24"/>
          <w:lang w:val="en-US"/>
        </w:rPr>
      </w:pPr>
      <w:r w:rsidRPr="00207B36">
        <w:rPr>
          <w:rFonts w:ascii="Times New Roman" w:hAnsi="Times New Roman" w:cs="Times New Roman"/>
          <w:b/>
          <w:sz w:val="24"/>
          <w:szCs w:val="24"/>
          <w:lang w:val="en-US"/>
        </w:rPr>
        <w:lastRenderedPageBreak/>
        <w:t>Acknowledgement</w:t>
      </w:r>
    </w:p>
    <w:p w:rsidR="00BF01B0" w:rsidRPr="00207B36" w:rsidRDefault="00BF01B0"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The completion of this undertaking could not have been accomplished without the participation and assistance of Dr. David Stead, who very generously reviewed this thesis several times and provided valuable insights and suggestions for improvements. </w:t>
      </w:r>
    </w:p>
    <w:p w:rsidR="00BF01B0" w:rsidRPr="00207B36" w:rsidRDefault="00BF01B0"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The author also recognizes the role of Dr. Maeve Henchion and Dr. Laura Devaney in encouraging and introducing him to the field of Bioeconomy. </w:t>
      </w:r>
    </w:p>
    <w:p w:rsidR="00BF01B0" w:rsidRPr="00207B36" w:rsidRDefault="001B5141"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Thank you. </w:t>
      </w:r>
    </w:p>
    <w:p w:rsidR="00BF01B0" w:rsidRPr="00207B36" w:rsidRDefault="00BF01B0" w:rsidP="00207B36">
      <w:pPr>
        <w:spacing w:line="480" w:lineRule="auto"/>
        <w:rPr>
          <w:rFonts w:ascii="Times New Roman" w:hAnsi="Times New Roman" w:cs="Times New Roman"/>
          <w:b/>
          <w:sz w:val="24"/>
          <w:szCs w:val="24"/>
          <w:lang w:val="en-US"/>
        </w:rPr>
      </w:pPr>
    </w:p>
    <w:p w:rsidR="00BF01B0" w:rsidRPr="00207B36" w:rsidRDefault="00BF01B0" w:rsidP="00207B36">
      <w:pPr>
        <w:spacing w:line="480" w:lineRule="auto"/>
        <w:rPr>
          <w:rFonts w:ascii="Times New Roman" w:hAnsi="Times New Roman" w:cs="Times New Roman"/>
          <w:b/>
          <w:sz w:val="24"/>
          <w:szCs w:val="24"/>
          <w:lang w:val="en-US"/>
        </w:rPr>
      </w:pPr>
    </w:p>
    <w:p w:rsidR="00BF01B0" w:rsidRPr="00207B36" w:rsidRDefault="00BF01B0" w:rsidP="00207B36">
      <w:pPr>
        <w:spacing w:line="480" w:lineRule="auto"/>
        <w:rPr>
          <w:rFonts w:ascii="Times New Roman" w:hAnsi="Times New Roman" w:cs="Times New Roman"/>
          <w:b/>
          <w:sz w:val="24"/>
          <w:szCs w:val="24"/>
          <w:lang w:val="en-US"/>
        </w:rPr>
      </w:pPr>
      <w:r w:rsidRPr="00207B36">
        <w:rPr>
          <w:rFonts w:ascii="Times New Roman" w:hAnsi="Times New Roman" w:cs="Times New Roman"/>
          <w:b/>
          <w:sz w:val="24"/>
          <w:szCs w:val="24"/>
          <w:lang w:val="en-US"/>
        </w:rPr>
        <w:t xml:space="preserve"> </w:t>
      </w:r>
    </w:p>
    <w:p w:rsidR="00BF01B0" w:rsidRPr="00207B36" w:rsidRDefault="00BF01B0" w:rsidP="00207B36">
      <w:pPr>
        <w:spacing w:line="480" w:lineRule="auto"/>
        <w:rPr>
          <w:rFonts w:ascii="Times New Roman" w:hAnsi="Times New Roman" w:cs="Times New Roman"/>
          <w:b/>
          <w:sz w:val="24"/>
          <w:szCs w:val="24"/>
          <w:lang w:val="en-US"/>
        </w:rPr>
      </w:pPr>
    </w:p>
    <w:p w:rsidR="00BF01B0" w:rsidRPr="00207B36" w:rsidRDefault="00BF01B0" w:rsidP="00207B36">
      <w:pPr>
        <w:spacing w:line="480" w:lineRule="auto"/>
        <w:rPr>
          <w:rFonts w:ascii="Times New Roman" w:hAnsi="Times New Roman" w:cs="Times New Roman"/>
          <w:b/>
          <w:sz w:val="24"/>
          <w:szCs w:val="24"/>
          <w:lang w:val="en-US"/>
        </w:rPr>
      </w:pPr>
    </w:p>
    <w:p w:rsidR="00BF01B0" w:rsidRPr="00207B36" w:rsidRDefault="00BF01B0" w:rsidP="00207B36">
      <w:pPr>
        <w:spacing w:line="480" w:lineRule="auto"/>
        <w:rPr>
          <w:rFonts w:ascii="Times New Roman" w:hAnsi="Times New Roman" w:cs="Times New Roman"/>
          <w:b/>
          <w:sz w:val="24"/>
          <w:szCs w:val="24"/>
          <w:lang w:val="en-US"/>
        </w:rPr>
      </w:pPr>
    </w:p>
    <w:p w:rsidR="00BF01B0" w:rsidRPr="00207B36" w:rsidRDefault="00BF01B0" w:rsidP="00207B36">
      <w:pPr>
        <w:spacing w:line="480" w:lineRule="auto"/>
        <w:rPr>
          <w:rFonts w:ascii="Times New Roman" w:hAnsi="Times New Roman" w:cs="Times New Roman"/>
          <w:b/>
          <w:sz w:val="24"/>
          <w:szCs w:val="24"/>
          <w:lang w:val="en-US"/>
        </w:rPr>
      </w:pPr>
    </w:p>
    <w:p w:rsidR="00BF01B0" w:rsidRPr="00207B36" w:rsidRDefault="00BF01B0" w:rsidP="00207B36">
      <w:pPr>
        <w:spacing w:line="480" w:lineRule="auto"/>
        <w:rPr>
          <w:rFonts w:ascii="Times New Roman" w:hAnsi="Times New Roman" w:cs="Times New Roman"/>
          <w:b/>
          <w:sz w:val="24"/>
          <w:szCs w:val="24"/>
          <w:lang w:val="en-US"/>
        </w:rPr>
      </w:pPr>
    </w:p>
    <w:p w:rsidR="00BF01B0" w:rsidRPr="00207B36" w:rsidRDefault="00BF01B0" w:rsidP="00207B36">
      <w:pPr>
        <w:spacing w:line="480" w:lineRule="auto"/>
        <w:rPr>
          <w:rFonts w:ascii="Times New Roman" w:hAnsi="Times New Roman" w:cs="Times New Roman"/>
          <w:b/>
          <w:sz w:val="24"/>
          <w:szCs w:val="24"/>
          <w:lang w:val="en-US"/>
        </w:rPr>
      </w:pPr>
    </w:p>
    <w:p w:rsidR="00BF01B0" w:rsidRPr="00207B36" w:rsidRDefault="00BF01B0" w:rsidP="00207B36">
      <w:pPr>
        <w:spacing w:line="480" w:lineRule="auto"/>
        <w:rPr>
          <w:rFonts w:ascii="Times New Roman" w:hAnsi="Times New Roman" w:cs="Times New Roman"/>
          <w:b/>
          <w:sz w:val="24"/>
          <w:szCs w:val="24"/>
          <w:lang w:val="en-US"/>
        </w:rPr>
      </w:pPr>
    </w:p>
    <w:p w:rsidR="00BF01B0" w:rsidRPr="00207B36" w:rsidRDefault="00BF01B0" w:rsidP="00207B36">
      <w:pPr>
        <w:spacing w:line="480" w:lineRule="auto"/>
        <w:rPr>
          <w:rFonts w:ascii="Times New Roman" w:hAnsi="Times New Roman" w:cs="Times New Roman"/>
          <w:b/>
          <w:sz w:val="24"/>
          <w:szCs w:val="24"/>
          <w:lang w:val="en-US"/>
        </w:rPr>
      </w:pPr>
    </w:p>
    <w:p w:rsidR="00BF01B0" w:rsidRPr="00207B36" w:rsidRDefault="00BF01B0" w:rsidP="00207B36">
      <w:pPr>
        <w:spacing w:line="480" w:lineRule="auto"/>
        <w:jc w:val="right"/>
        <w:rPr>
          <w:rFonts w:ascii="Times New Roman" w:hAnsi="Times New Roman" w:cs="Times New Roman"/>
          <w:b/>
          <w:sz w:val="24"/>
          <w:szCs w:val="24"/>
          <w:lang w:val="en-US"/>
        </w:rPr>
      </w:pPr>
      <w:r w:rsidRPr="00207B36">
        <w:rPr>
          <w:rFonts w:ascii="Times New Roman" w:hAnsi="Times New Roman" w:cs="Times New Roman"/>
          <w:b/>
          <w:sz w:val="24"/>
          <w:szCs w:val="24"/>
          <w:lang w:val="en-US"/>
        </w:rPr>
        <w:t>Ashutosh Bagla</w:t>
      </w:r>
    </w:p>
    <w:p w:rsidR="00BF01B0" w:rsidRPr="00207B36" w:rsidRDefault="00BF01B0" w:rsidP="00207B36">
      <w:pPr>
        <w:spacing w:line="480" w:lineRule="auto"/>
        <w:jc w:val="right"/>
        <w:rPr>
          <w:rFonts w:ascii="Times New Roman" w:hAnsi="Times New Roman" w:cs="Times New Roman"/>
          <w:b/>
          <w:sz w:val="24"/>
          <w:szCs w:val="24"/>
          <w:lang w:val="en-US"/>
        </w:rPr>
      </w:pPr>
      <w:r w:rsidRPr="00207B36">
        <w:rPr>
          <w:rFonts w:ascii="Times New Roman" w:hAnsi="Times New Roman" w:cs="Times New Roman"/>
          <w:b/>
          <w:sz w:val="24"/>
          <w:szCs w:val="24"/>
          <w:lang w:val="en-US"/>
        </w:rPr>
        <w:t>(2017)</w:t>
      </w:r>
    </w:p>
    <w:p w:rsidR="00FB7A45" w:rsidRPr="00207B36" w:rsidRDefault="00FB7A45" w:rsidP="00207B36">
      <w:pPr>
        <w:spacing w:line="480" w:lineRule="auto"/>
        <w:rPr>
          <w:rFonts w:ascii="Times New Roman" w:hAnsi="Times New Roman" w:cs="Times New Roman"/>
          <w:b/>
          <w:sz w:val="24"/>
          <w:szCs w:val="24"/>
          <w:lang w:val="en-US"/>
        </w:rPr>
      </w:pPr>
      <w:r w:rsidRPr="00207B36">
        <w:rPr>
          <w:rFonts w:ascii="Times New Roman" w:hAnsi="Times New Roman" w:cs="Times New Roman"/>
          <w:b/>
          <w:sz w:val="24"/>
          <w:szCs w:val="24"/>
          <w:lang w:val="en-US"/>
        </w:rPr>
        <w:lastRenderedPageBreak/>
        <w:t>Table of Contents:</w:t>
      </w:r>
    </w:p>
    <w:p w:rsidR="00FB7A45" w:rsidRPr="00207B36" w:rsidRDefault="00FB7A45" w:rsidP="00207B36">
      <w:pPr>
        <w:pStyle w:val="ListParagraph"/>
        <w:numPr>
          <w:ilvl w:val="0"/>
          <w:numId w:val="20"/>
        </w:num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Topic </w:t>
      </w:r>
    </w:p>
    <w:p w:rsidR="00FB7A45" w:rsidRPr="00207B36" w:rsidRDefault="00FB7A45" w:rsidP="00207B36">
      <w:pPr>
        <w:pStyle w:val="ListParagraph"/>
        <w:numPr>
          <w:ilvl w:val="0"/>
          <w:numId w:val="20"/>
        </w:num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Background Context and Research Methods</w:t>
      </w:r>
    </w:p>
    <w:p w:rsidR="00FB7A45" w:rsidRPr="00207B36" w:rsidRDefault="00FB7A45" w:rsidP="00207B36">
      <w:pPr>
        <w:pStyle w:val="ListParagraph"/>
        <w:numPr>
          <w:ilvl w:val="0"/>
          <w:numId w:val="20"/>
        </w:num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Section 1: Economic Sustainability </w:t>
      </w:r>
    </w:p>
    <w:p w:rsidR="00FB7A45" w:rsidRPr="00207B36" w:rsidRDefault="00FB7A45" w:rsidP="00207B36">
      <w:pPr>
        <w:pStyle w:val="ListParagraph"/>
        <w:numPr>
          <w:ilvl w:val="0"/>
          <w:numId w:val="20"/>
        </w:num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Section 2: Environment Sustainability </w:t>
      </w:r>
    </w:p>
    <w:p w:rsidR="00FB7A45" w:rsidRPr="00207B36" w:rsidRDefault="00FB7A45" w:rsidP="00207B36">
      <w:pPr>
        <w:pStyle w:val="ListParagraph"/>
        <w:numPr>
          <w:ilvl w:val="0"/>
          <w:numId w:val="20"/>
        </w:num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Section 3: Social Sustainability </w:t>
      </w:r>
    </w:p>
    <w:p w:rsidR="00FB7A45" w:rsidRPr="00207B36" w:rsidRDefault="00FB7A45" w:rsidP="00207B36">
      <w:pPr>
        <w:pStyle w:val="ListParagraph"/>
        <w:numPr>
          <w:ilvl w:val="0"/>
          <w:numId w:val="20"/>
        </w:num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Final step for economic, environmental and social criteria</w:t>
      </w:r>
    </w:p>
    <w:p w:rsidR="00FB7A45" w:rsidRPr="00207B36" w:rsidRDefault="00FB7A45" w:rsidP="00207B36">
      <w:pPr>
        <w:pStyle w:val="ListParagraph"/>
        <w:numPr>
          <w:ilvl w:val="0"/>
          <w:numId w:val="20"/>
        </w:num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Conclusion</w:t>
      </w:r>
    </w:p>
    <w:p w:rsidR="00FB7A45" w:rsidRPr="00207B36" w:rsidRDefault="00F80071" w:rsidP="00207B36">
      <w:pPr>
        <w:pStyle w:val="ListParagraph"/>
        <w:numPr>
          <w:ilvl w:val="0"/>
          <w:numId w:val="20"/>
        </w:num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Bibliography</w:t>
      </w:r>
    </w:p>
    <w:p w:rsidR="00FB7A45" w:rsidRPr="00207B36" w:rsidRDefault="00FB7A45" w:rsidP="00207B36">
      <w:pPr>
        <w:spacing w:line="480" w:lineRule="auto"/>
        <w:rPr>
          <w:rFonts w:ascii="Times New Roman" w:hAnsi="Times New Roman" w:cs="Times New Roman"/>
          <w:b/>
          <w:sz w:val="24"/>
          <w:szCs w:val="24"/>
          <w:lang w:val="en-US"/>
        </w:rPr>
      </w:pPr>
    </w:p>
    <w:p w:rsidR="00FB7A45" w:rsidRPr="00207B36" w:rsidRDefault="00FB7A45" w:rsidP="00207B36">
      <w:pPr>
        <w:spacing w:line="480" w:lineRule="auto"/>
        <w:rPr>
          <w:rFonts w:ascii="Times New Roman" w:hAnsi="Times New Roman" w:cs="Times New Roman"/>
          <w:b/>
          <w:sz w:val="24"/>
          <w:szCs w:val="24"/>
          <w:lang w:val="en-US"/>
        </w:rPr>
      </w:pPr>
    </w:p>
    <w:p w:rsidR="00FB7A45" w:rsidRPr="00207B36" w:rsidRDefault="00FB7A45" w:rsidP="00207B36">
      <w:pPr>
        <w:spacing w:line="480" w:lineRule="auto"/>
        <w:rPr>
          <w:rFonts w:ascii="Times New Roman" w:hAnsi="Times New Roman" w:cs="Times New Roman"/>
          <w:b/>
          <w:sz w:val="24"/>
          <w:szCs w:val="24"/>
          <w:lang w:val="en-US"/>
        </w:rPr>
      </w:pPr>
    </w:p>
    <w:p w:rsidR="00FB7A45" w:rsidRPr="00207B36" w:rsidRDefault="00FB7A45" w:rsidP="00207B36">
      <w:pPr>
        <w:spacing w:line="480" w:lineRule="auto"/>
        <w:rPr>
          <w:rFonts w:ascii="Times New Roman" w:hAnsi="Times New Roman" w:cs="Times New Roman"/>
          <w:b/>
          <w:sz w:val="24"/>
          <w:szCs w:val="24"/>
          <w:lang w:val="en-US"/>
        </w:rPr>
      </w:pPr>
    </w:p>
    <w:p w:rsidR="00FB7A45" w:rsidRPr="00207B36" w:rsidRDefault="00FB7A45" w:rsidP="00207B36">
      <w:pPr>
        <w:spacing w:line="480" w:lineRule="auto"/>
        <w:rPr>
          <w:rFonts w:ascii="Times New Roman" w:hAnsi="Times New Roman" w:cs="Times New Roman"/>
          <w:b/>
          <w:sz w:val="24"/>
          <w:szCs w:val="24"/>
          <w:lang w:val="en-US"/>
        </w:rPr>
      </w:pPr>
    </w:p>
    <w:p w:rsidR="00FB7A45" w:rsidRPr="00207B36" w:rsidRDefault="00FB7A45" w:rsidP="00207B36">
      <w:pPr>
        <w:spacing w:line="480" w:lineRule="auto"/>
        <w:rPr>
          <w:rFonts w:ascii="Times New Roman" w:hAnsi="Times New Roman" w:cs="Times New Roman"/>
          <w:b/>
          <w:sz w:val="24"/>
          <w:szCs w:val="24"/>
          <w:lang w:val="en-US"/>
        </w:rPr>
      </w:pPr>
    </w:p>
    <w:p w:rsidR="00FB7A45" w:rsidRPr="00207B36" w:rsidRDefault="00FB7A45" w:rsidP="00207B36">
      <w:pPr>
        <w:spacing w:line="480" w:lineRule="auto"/>
        <w:rPr>
          <w:rFonts w:ascii="Times New Roman" w:hAnsi="Times New Roman" w:cs="Times New Roman"/>
          <w:b/>
          <w:sz w:val="24"/>
          <w:szCs w:val="24"/>
          <w:lang w:val="en-US"/>
        </w:rPr>
      </w:pPr>
    </w:p>
    <w:p w:rsidR="00FB7A45" w:rsidRPr="00207B36" w:rsidRDefault="00FB7A45" w:rsidP="00207B36">
      <w:pPr>
        <w:spacing w:line="480" w:lineRule="auto"/>
        <w:rPr>
          <w:rFonts w:ascii="Times New Roman" w:hAnsi="Times New Roman" w:cs="Times New Roman"/>
          <w:b/>
          <w:sz w:val="24"/>
          <w:szCs w:val="24"/>
          <w:lang w:val="en-US"/>
        </w:rPr>
      </w:pPr>
    </w:p>
    <w:p w:rsidR="00FB7A45" w:rsidRPr="00207B36" w:rsidRDefault="00FB7A45" w:rsidP="00207B36">
      <w:pPr>
        <w:spacing w:line="480" w:lineRule="auto"/>
        <w:rPr>
          <w:rFonts w:ascii="Times New Roman" w:hAnsi="Times New Roman" w:cs="Times New Roman"/>
          <w:b/>
          <w:sz w:val="24"/>
          <w:szCs w:val="24"/>
          <w:lang w:val="en-US"/>
        </w:rPr>
      </w:pPr>
    </w:p>
    <w:p w:rsidR="00FB7A45" w:rsidRPr="00207B36" w:rsidRDefault="00FB7A45" w:rsidP="00207B36">
      <w:pPr>
        <w:spacing w:line="480" w:lineRule="auto"/>
        <w:rPr>
          <w:rFonts w:ascii="Times New Roman" w:hAnsi="Times New Roman" w:cs="Times New Roman"/>
          <w:b/>
          <w:sz w:val="24"/>
          <w:szCs w:val="24"/>
          <w:lang w:val="en-US"/>
        </w:rPr>
      </w:pPr>
    </w:p>
    <w:p w:rsidR="00207B36" w:rsidRDefault="00207B36" w:rsidP="00207B36">
      <w:pPr>
        <w:spacing w:line="480" w:lineRule="auto"/>
        <w:rPr>
          <w:rFonts w:ascii="Times New Roman" w:hAnsi="Times New Roman" w:cs="Times New Roman"/>
          <w:b/>
          <w:sz w:val="24"/>
          <w:szCs w:val="24"/>
          <w:lang w:val="en-US"/>
        </w:rPr>
      </w:pPr>
    </w:p>
    <w:p w:rsidR="00207B36" w:rsidRDefault="00207B36" w:rsidP="00207B36">
      <w:pPr>
        <w:spacing w:line="480" w:lineRule="auto"/>
        <w:rPr>
          <w:rFonts w:ascii="Times New Roman" w:hAnsi="Times New Roman" w:cs="Times New Roman"/>
          <w:b/>
          <w:sz w:val="24"/>
          <w:szCs w:val="24"/>
          <w:lang w:val="en-US"/>
        </w:rPr>
      </w:pPr>
    </w:p>
    <w:p w:rsidR="00293368" w:rsidRPr="00207B36" w:rsidRDefault="00293368" w:rsidP="00207B36">
      <w:pPr>
        <w:spacing w:line="480" w:lineRule="auto"/>
        <w:rPr>
          <w:rFonts w:ascii="Times New Roman" w:hAnsi="Times New Roman" w:cs="Times New Roman"/>
          <w:b/>
          <w:sz w:val="24"/>
          <w:szCs w:val="24"/>
          <w:lang w:val="en-US"/>
        </w:rPr>
      </w:pPr>
      <w:r w:rsidRPr="00207B36">
        <w:rPr>
          <w:rFonts w:ascii="Times New Roman" w:hAnsi="Times New Roman" w:cs="Times New Roman"/>
          <w:b/>
          <w:sz w:val="24"/>
          <w:szCs w:val="24"/>
          <w:lang w:val="en-US"/>
        </w:rPr>
        <w:lastRenderedPageBreak/>
        <w:t>Topic</w:t>
      </w:r>
    </w:p>
    <w:p w:rsidR="00293368" w:rsidRPr="00207B36" w:rsidRDefault="00293368"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The project aims to:</w:t>
      </w:r>
    </w:p>
    <w:p w:rsidR="00293368" w:rsidRPr="00207B36" w:rsidRDefault="00293368" w:rsidP="00207B36">
      <w:pPr>
        <w:numPr>
          <w:ilvl w:val="0"/>
          <w:numId w:val="1"/>
        </w:num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conduct a scientific review to develop the economic, environmental and social </w:t>
      </w:r>
      <w:r w:rsidR="00F06CC8" w:rsidRPr="00207B36">
        <w:rPr>
          <w:rFonts w:ascii="Times New Roman" w:hAnsi="Times New Roman" w:cs="Times New Roman"/>
          <w:sz w:val="24"/>
          <w:szCs w:val="24"/>
          <w:lang w:val="en-US"/>
        </w:rPr>
        <w:t xml:space="preserve">research criteria </w:t>
      </w:r>
      <w:r w:rsidR="001E179F" w:rsidRPr="00207B36">
        <w:rPr>
          <w:rFonts w:ascii="Times New Roman" w:hAnsi="Times New Roman" w:cs="Times New Roman"/>
          <w:sz w:val="24"/>
          <w:szCs w:val="24"/>
          <w:lang w:val="en-US"/>
        </w:rPr>
        <w:t xml:space="preserve">and methodology </w:t>
      </w:r>
      <w:r w:rsidR="00F06CC8" w:rsidRPr="00207B36">
        <w:rPr>
          <w:rFonts w:ascii="Times New Roman" w:hAnsi="Times New Roman" w:cs="Times New Roman"/>
          <w:sz w:val="24"/>
          <w:szCs w:val="24"/>
          <w:lang w:val="en-US"/>
        </w:rPr>
        <w:t>to</w:t>
      </w:r>
      <w:r w:rsidRPr="00207B36">
        <w:rPr>
          <w:rFonts w:ascii="Times New Roman" w:hAnsi="Times New Roman" w:cs="Times New Roman"/>
          <w:sz w:val="24"/>
          <w:szCs w:val="24"/>
          <w:lang w:val="en-US"/>
        </w:rPr>
        <w:t xml:space="preserve"> </w:t>
      </w:r>
      <w:r w:rsidR="00F06CC8" w:rsidRPr="00207B36">
        <w:rPr>
          <w:rFonts w:ascii="Times New Roman" w:hAnsi="Times New Roman" w:cs="Times New Roman"/>
          <w:sz w:val="24"/>
          <w:szCs w:val="24"/>
          <w:lang w:val="en-US"/>
        </w:rPr>
        <w:t xml:space="preserve">subsequently </w:t>
      </w:r>
      <w:r w:rsidR="0034428B" w:rsidRPr="00207B36">
        <w:rPr>
          <w:rFonts w:ascii="Times New Roman" w:hAnsi="Times New Roman" w:cs="Times New Roman"/>
          <w:sz w:val="24"/>
          <w:szCs w:val="24"/>
          <w:lang w:val="en-US"/>
        </w:rPr>
        <w:t xml:space="preserve">allow for the evaluation of </w:t>
      </w:r>
      <w:r w:rsidRPr="00207B36">
        <w:rPr>
          <w:rFonts w:ascii="Times New Roman" w:hAnsi="Times New Roman" w:cs="Times New Roman"/>
          <w:sz w:val="24"/>
          <w:szCs w:val="24"/>
          <w:lang w:val="en-US"/>
        </w:rPr>
        <w:t>the sustainability of different biochains in the Irish bioceconomy</w:t>
      </w:r>
    </w:p>
    <w:p w:rsidR="006A63E3" w:rsidRPr="00207B36" w:rsidRDefault="001E179F" w:rsidP="00207B36">
      <w:pPr>
        <w:numPr>
          <w:ilvl w:val="0"/>
          <w:numId w:val="1"/>
        </w:num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b</w:t>
      </w:r>
      <w:r w:rsidR="006A63E3" w:rsidRPr="00207B36">
        <w:rPr>
          <w:rFonts w:ascii="Times New Roman" w:hAnsi="Times New Roman" w:cs="Times New Roman"/>
          <w:sz w:val="24"/>
          <w:szCs w:val="24"/>
          <w:lang w:val="en-US"/>
        </w:rPr>
        <w:t xml:space="preserve">riefly explain the results </w:t>
      </w:r>
      <w:r w:rsidR="00F009E2" w:rsidRPr="00207B36">
        <w:rPr>
          <w:rFonts w:ascii="Times New Roman" w:hAnsi="Times New Roman" w:cs="Times New Roman"/>
          <w:sz w:val="24"/>
          <w:szCs w:val="24"/>
          <w:lang w:val="en-US"/>
        </w:rPr>
        <w:t xml:space="preserve">and conclusions </w:t>
      </w:r>
      <w:r w:rsidR="006A63E3" w:rsidRPr="00207B36">
        <w:rPr>
          <w:rFonts w:ascii="Times New Roman" w:hAnsi="Times New Roman" w:cs="Times New Roman"/>
          <w:sz w:val="24"/>
          <w:szCs w:val="24"/>
          <w:lang w:val="en-US"/>
        </w:rPr>
        <w:t xml:space="preserve">of several </w:t>
      </w:r>
      <w:r w:rsidR="0061452D" w:rsidRPr="00207B36">
        <w:rPr>
          <w:rFonts w:ascii="Times New Roman" w:hAnsi="Times New Roman" w:cs="Times New Roman"/>
          <w:sz w:val="24"/>
          <w:szCs w:val="24"/>
          <w:lang w:val="en-US"/>
        </w:rPr>
        <w:t>b</w:t>
      </w:r>
      <w:r w:rsidR="006A63E3" w:rsidRPr="00207B36">
        <w:rPr>
          <w:rFonts w:ascii="Times New Roman" w:hAnsi="Times New Roman" w:cs="Times New Roman"/>
          <w:sz w:val="24"/>
          <w:szCs w:val="24"/>
          <w:lang w:val="en-US"/>
        </w:rPr>
        <w:t>ioeconomy economic, environment</w:t>
      </w:r>
      <w:r w:rsidR="0061452D" w:rsidRPr="00207B36">
        <w:rPr>
          <w:rFonts w:ascii="Times New Roman" w:hAnsi="Times New Roman" w:cs="Times New Roman"/>
          <w:sz w:val="24"/>
          <w:szCs w:val="24"/>
          <w:lang w:val="en-US"/>
        </w:rPr>
        <w:t xml:space="preserve"> and social </w:t>
      </w:r>
      <w:r w:rsidRPr="00207B36">
        <w:rPr>
          <w:rFonts w:ascii="Times New Roman" w:hAnsi="Times New Roman" w:cs="Times New Roman"/>
          <w:sz w:val="24"/>
          <w:szCs w:val="24"/>
          <w:lang w:val="en-US"/>
        </w:rPr>
        <w:t xml:space="preserve">sustainability </w:t>
      </w:r>
      <w:r w:rsidR="0061452D" w:rsidRPr="00207B36">
        <w:rPr>
          <w:rFonts w:ascii="Times New Roman" w:hAnsi="Times New Roman" w:cs="Times New Roman"/>
          <w:sz w:val="24"/>
          <w:szCs w:val="24"/>
          <w:lang w:val="en-US"/>
        </w:rPr>
        <w:t>studies conducted so far</w:t>
      </w:r>
    </w:p>
    <w:p w:rsidR="00293368" w:rsidRPr="00207B36" w:rsidRDefault="00293368" w:rsidP="00207B36">
      <w:pPr>
        <w:numPr>
          <w:ilvl w:val="0"/>
          <w:numId w:val="1"/>
        </w:numPr>
        <w:spacing w:line="480" w:lineRule="auto"/>
        <w:rPr>
          <w:rFonts w:ascii="Times New Roman" w:hAnsi="Times New Roman" w:cs="Times New Roman"/>
          <w:sz w:val="24"/>
          <w:szCs w:val="24"/>
          <w:lang w:val="en-US"/>
        </w:rPr>
      </w:pPr>
      <w:bookmarkStart w:id="0" w:name="_Hlk480661864"/>
      <w:r w:rsidRPr="00207B36">
        <w:rPr>
          <w:rFonts w:ascii="Times New Roman" w:hAnsi="Times New Roman" w:cs="Times New Roman"/>
          <w:sz w:val="24"/>
          <w:szCs w:val="24"/>
          <w:lang w:val="en-US"/>
        </w:rPr>
        <w:t xml:space="preserve">provide a </w:t>
      </w:r>
      <w:r w:rsidR="00F06CC8" w:rsidRPr="00207B36">
        <w:rPr>
          <w:rFonts w:ascii="Times New Roman" w:hAnsi="Times New Roman" w:cs="Times New Roman"/>
          <w:sz w:val="24"/>
          <w:szCs w:val="24"/>
          <w:lang w:val="en-US"/>
        </w:rPr>
        <w:t xml:space="preserve">new </w:t>
      </w:r>
      <w:r w:rsidRPr="00207B36">
        <w:rPr>
          <w:rFonts w:ascii="Times New Roman" w:hAnsi="Times New Roman" w:cs="Times New Roman"/>
          <w:sz w:val="24"/>
          <w:szCs w:val="24"/>
          <w:lang w:val="en-US"/>
        </w:rPr>
        <w:t xml:space="preserve">template of a detailed methodology to </w:t>
      </w:r>
      <w:r w:rsidR="00F06CC8" w:rsidRPr="00207B36">
        <w:rPr>
          <w:rFonts w:ascii="Times New Roman" w:hAnsi="Times New Roman" w:cs="Times New Roman"/>
          <w:sz w:val="24"/>
          <w:szCs w:val="24"/>
          <w:lang w:val="en-US"/>
        </w:rPr>
        <w:t xml:space="preserve">subsequently </w:t>
      </w:r>
      <w:r w:rsidRPr="00207B36">
        <w:rPr>
          <w:rFonts w:ascii="Times New Roman" w:hAnsi="Times New Roman" w:cs="Times New Roman"/>
          <w:sz w:val="24"/>
          <w:szCs w:val="24"/>
          <w:lang w:val="en-US"/>
        </w:rPr>
        <w:t>conduct</w:t>
      </w:r>
      <w:r w:rsidR="00F06CC8" w:rsidRPr="00207B36">
        <w:rPr>
          <w:rFonts w:ascii="Times New Roman" w:hAnsi="Times New Roman" w:cs="Times New Roman"/>
          <w:sz w:val="24"/>
          <w:szCs w:val="24"/>
          <w:lang w:val="en-US"/>
        </w:rPr>
        <w:t xml:space="preserve"> sustainability assessment and determine the most optimal biochain for</w:t>
      </w:r>
      <w:r w:rsidRPr="00207B36">
        <w:rPr>
          <w:rFonts w:ascii="Times New Roman" w:hAnsi="Times New Roman" w:cs="Times New Roman"/>
          <w:sz w:val="24"/>
          <w:szCs w:val="24"/>
          <w:lang w:val="en-US"/>
        </w:rPr>
        <w:t xml:space="preserve"> other countries </w:t>
      </w:r>
      <w:r w:rsidR="00DB2209" w:rsidRPr="00207B36">
        <w:rPr>
          <w:rFonts w:ascii="Times New Roman" w:hAnsi="Times New Roman" w:cs="Times New Roman"/>
          <w:sz w:val="24"/>
          <w:szCs w:val="24"/>
          <w:lang w:val="en-US"/>
        </w:rPr>
        <w:t>as well</w:t>
      </w:r>
    </w:p>
    <w:bookmarkEnd w:id="0"/>
    <w:p w:rsidR="00293368" w:rsidRPr="00207B36" w:rsidRDefault="00293368" w:rsidP="00207B36">
      <w:pPr>
        <w:numPr>
          <w:ilvl w:val="0"/>
          <w:numId w:val="1"/>
        </w:num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suggest future studies in the bioeconomy sector which may aid Ireland to become more sustainable and further consolidate its environm</w:t>
      </w:r>
      <w:r w:rsidR="00F06CC8" w:rsidRPr="00207B36">
        <w:rPr>
          <w:rFonts w:ascii="Times New Roman" w:hAnsi="Times New Roman" w:cs="Times New Roman"/>
          <w:sz w:val="24"/>
          <w:szCs w:val="24"/>
          <w:lang w:val="en-US"/>
        </w:rPr>
        <w:t>ent friendly image in the world</w:t>
      </w:r>
      <w:r w:rsidRPr="00207B36">
        <w:rPr>
          <w:rFonts w:ascii="Times New Roman" w:hAnsi="Times New Roman" w:cs="Times New Roman"/>
          <w:sz w:val="24"/>
          <w:szCs w:val="24"/>
          <w:lang w:val="en-US"/>
        </w:rPr>
        <w:t xml:space="preserve"> </w:t>
      </w:r>
    </w:p>
    <w:p w:rsidR="00293368" w:rsidRPr="00207B36" w:rsidRDefault="00293368"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The project has been named BioGreen because it </w:t>
      </w:r>
      <w:r w:rsidR="0060377F" w:rsidRPr="00207B36">
        <w:rPr>
          <w:rFonts w:ascii="Times New Roman" w:hAnsi="Times New Roman" w:cs="Times New Roman"/>
          <w:sz w:val="24"/>
          <w:szCs w:val="24"/>
          <w:lang w:val="en-US"/>
        </w:rPr>
        <w:t xml:space="preserve">develops a new method to </w:t>
      </w:r>
      <w:r w:rsidRPr="00207B36">
        <w:rPr>
          <w:rFonts w:ascii="Times New Roman" w:hAnsi="Times New Roman" w:cs="Times New Roman"/>
          <w:sz w:val="24"/>
          <w:szCs w:val="24"/>
          <w:lang w:val="en-US"/>
        </w:rPr>
        <w:t xml:space="preserve">assesses the potential of </w:t>
      </w:r>
      <w:r w:rsidR="0060377F" w:rsidRPr="00207B36">
        <w:rPr>
          <w:rFonts w:ascii="Times New Roman" w:hAnsi="Times New Roman" w:cs="Times New Roman"/>
          <w:sz w:val="24"/>
          <w:szCs w:val="24"/>
          <w:lang w:val="en-US"/>
        </w:rPr>
        <w:t xml:space="preserve">the </w:t>
      </w:r>
      <w:r w:rsidRPr="00207B36">
        <w:rPr>
          <w:rFonts w:ascii="Times New Roman" w:hAnsi="Times New Roman" w:cs="Times New Roman"/>
          <w:sz w:val="24"/>
          <w:szCs w:val="24"/>
          <w:lang w:val="en-US"/>
        </w:rPr>
        <w:t>bioeconomy in contribution to Ireland’s sustainability goals. Bioeconomy refers to those parts of</w:t>
      </w:r>
      <w:r w:rsidR="0060377F" w:rsidRPr="00207B36">
        <w:rPr>
          <w:rFonts w:ascii="Times New Roman" w:hAnsi="Times New Roman" w:cs="Times New Roman"/>
          <w:sz w:val="24"/>
          <w:szCs w:val="24"/>
          <w:lang w:val="en-US"/>
        </w:rPr>
        <w:t xml:space="preserve"> the</w:t>
      </w:r>
      <w:r w:rsidRPr="00207B36">
        <w:rPr>
          <w:rFonts w:ascii="Times New Roman" w:hAnsi="Times New Roman" w:cs="Times New Roman"/>
          <w:sz w:val="24"/>
          <w:szCs w:val="24"/>
          <w:lang w:val="en-US"/>
        </w:rPr>
        <w:t xml:space="preserve"> economy that use r</w:t>
      </w:r>
      <w:r w:rsidR="00555F48" w:rsidRPr="00207B36">
        <w:rPr>
          <w:rFonts w:ascii="Times New Roman" w:hAnsi="Times New Roman" w:cs="Times New Roman"/>
          <w:sz w:val="24"/>
          <w:szCs w:val="24"/>
          <w:lang w:val="en-US"/>
        </w:rPr>
        <w:t>enewable biological resources (b</w:t>
      </w:r>
      <w:r w:rsidRPr="00207B36">
        <w:rPr>
          <w:rFonts w:ascii="Times New Roman" w:hAnsi="Times New Roman" w:cs="Times New Roman"/>
          <w:sz w:val="24"/>
          <w:szCs w:val="24"/>
          <w:lang w:val="en-US"/>
        </w:rPr>
        <w:t>iomass) from land and sea such as crops, forests, fish, animals, micro-organisms, and organic waste and residue to produce food, feed, materials, chemicals, f</w:t>
      </w:r>
      <w:r w:rsidR="00555F48" w:rsidRPr="00207B36">
        <w:rPr>
          <w:rFonts w:ascii="Times New Roman" w:hAnsi="Times New Roman" w:cs="Times New Roman"/>
          <w:sz w:val="24"/>
          <w:szCs w:val="24"/>
          <w:lang w:val="en-US"/>
        </w:rPr>
        <w:t>uels and energy (Potocnik, 2015;</w:t>
      </w:r>
      <w:r w:rsidRPr="00207B36">
        <w:rPr>
          <w:rFonts w:ascii="Times New Roman" w:hAnsi="Times New Roman" w:cs="Times New Roman"/>
          <w:sz w:val="24"/>
          <w:szCs w:val="24"/>
          <w:lang w:val="en-US"/>
        </w:rPr>
        <w:t xml:space="preserve"> as cited in Devaney, 2017). The research is critical because we live in a world with increasingly limited resources. Ireland enjoys a marketing advantage for its domestic consumer food products due to its sustainable production practices. Development of a robust bioeconomy sector would further consolidate </w:t>
      </w:r>
      <w:r w:rsidR="0060377F" w:rsidRPr="00207B36">
        <w:rPr>
          <w:rFonts w:ascii="Times New Roman" w:hAnsi="Times New Roman" w:cs="Times New Roman"/>
          <w:sz w:val="24"/>
          <w:szCs w:val="24"/>
          <w:lang w:val="en-US"/>
        </w:rPr>
        <w:t xml:space="preserve">the </w:t>
      </w:r>
      <w:r w:rsidR="00DB2209" w:rsidRPr="00207B36">
        <w:rPr>
          <w:rFonts w:ascii="Times New Roman" w:hAnsi="Times New Roman" w:cs="Times New Roman"/>
          <w:sz w:val="24"/>
          <w:szCs w:val="24"/>
          <w:lang w:val="en-US"/>
        </w:rPr>
        <w:t>country’s position</w:t>
      </w:r>
      <w:r w:rsidRPr="00207B36">
        <w:rPr>
          <w:rFonts w:ascii="Times New Roman" w:hAnsi="Times New Roman" w:cs="Times New Roman"/>
          <w:sz w:val="24"/>
          <w:szCs w:val="24"/>
          <w:lang w:val="en-US"/>
        </w:rPr>
        <w:t xml:space="preserve"> as a world leader in sustainability </w:t>
      </w:r>
      <w:bookmarkStart w:id="1" w:name="_Hlk480108620"/>
      <w:r w:rsidRPr="00207B36">
        <w:rPr>
          <w:rFonts w:ascii="Times New Roman" w:hAnsi="Times New Roman" w:cs="Times New Roman"/>
          <w:sz w:val="24"/>
          <w:szCs w:val="24"/>
          <w:lang w:val="en-US"/>
        </w:rPr>
        <w:t>(Devaney and Henchion, forthcoming 2017)</w:t>
      </w:r>
      <w:bookmarkEnd w:id="1"/>
      <w:r w:rsidRPr="00207B36">
        <w:rPr>
          <w:rFonts w:ascii="Times New Roman" w:hAnsi="Times New Roman" w:cs="Times New Roman"/>
          <w:sz w:val="24"/>
          <w:szCs w:val="24"/>
          <w:lang w:val="en-US"/>
        </w:rPr>
        <w:t xml:space="preserve">.  </w:t>
      </w:r>
    </w:p>
    <w:p w:rsidR="00293368" w:rsidRPr="00207B36" w:rsidRDefault="00293368"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lastRenderedPageBreak/>
        <w:t xml:space="preserve">The evaluation criteria developed in this project can be used in future to </w:t>
      </w:r>
      <w:r w:rsidR="0060377F" w:rsidRPr="00207B36">
        <w:rPr>
          <w:rFonts w:ascii="Times New Roman" w:hAnsi="Times New Roman" w:cs="Times New Roman"/>
          <w:sz w:val="24"/>
          <w:szCs w:val="24"/>
          <w:lang w:val="en-US"/>
        </w:rPr>
        <w:t xml:space="preserve">actually </w:t>
      </w:r>
      <w:r w:rsidRPr="00207B36">
        <w:rPr>
          <w:rFonts w:ascii="Times New Roman" w:hAnsi="Times New Roman" w:cs="Times New Roman"/>
          <w:sz w:val="24"/>
          <w:szCs w:val="24"/>
          <w:lang w:val="en-US"/>
        </w:rPr>
        <w:t xml:space="preserve">evaluate the biochains in other sectors of the Irish bioeconomy as well. The project in its completed form can also serve as a reference document to </w:t>
      </w:r>
      <w:r w:rsidR="00723EC0" w:rsidRPr="00207B36">
        <w:rPr>
          <w:rFonts w:ascii="Times New Roman" w:hAnsi="Times New Roman" w:cs="Times New Roman"/>
          <w:sz w:val="24"/>
          <w:szCs w:val="24"/>
          <w:lang w:val="en-US"/>
        </w:rPr>
        <w:t>analyse</w:t>
      </w:r>
      <w:r w:rsidRPr="00207B36">
        <w:rPr>
          <w:rFonts w:ascii="Times New Roman" w:hAnsi="Times New Roman" w:cs="Times New Roman"/>
          <w:sz w:val="24"/>
          <w:szCs w:val="24"/>
          <w:lang w:val="en-US"/>
        </w:rPr>
        <w:t xml:space="preserve"> value chains in other industries and other countries after modifying the economic, environmental and social criteria. The project also provides a logical and </w:t>
      </w:r>
      <w:r w:rsidR="00015C6B" w:rsidRPr="00207B36">
        <w:rPr>
          <w:rFonts w:ascii="Times New Roman" w:hAnsi="Times New Roman" w:cs="Times New Roman"/>
          <w:sz w:val="24"/>
          <w:szCs w:val="24"/>
          <w:lang w:val="en-US"/>
        </w:rPr>
        <w:t xml:space="preserve">consistent </w:t>
      </w:r>
      <w:r w:rsidRPr="00207B36">
        <w:rPr>
          <w:rFonts w:ascii="Times New Roman" w:hAnsi="Times New Roman" w:cs="Times New Roman"/>
          <w:sz w:val="24"/>
          <w:szCs w:val="24"/>
          <w:lang w:val="en-US"/>
        </w:rPr>
        <w:t xml:space="preserve">approach of first developing the required assessment criteria, and then </w:t>
      </w:r>
      <w:r w:rsidR="00015C6B" w:rsidRPr="00207B36">
        <w:rPr>
          <w:rFonts w:ascii="Times New Roman" w:hAnsi="Times New Roman" w:cs="Times New Roman"/>
          <w:sz w:val="24"/>
          <w:szCs w:val="24"/>
          <w:lang w:val="en-US"/>
        </w:rPr>
        <w:t xml:space="preserve">presents the </w:t>
      </w:r>
      <w:r w:rsidRPr="00207B36">
        <w:rPr>
          <w:rFonts w:ascii="Times New Roman" w:hAnsi="Times New Roman" w:cs="Times New Roman"/>
          <w:sz w:val="24"/>
          <w:szCs w:val="24"/>
          <w:lang w:val="en-US"/>
        </w:rPr>
        <w:t xml:space="preserve">methodology for the </w:t>
      </w:r>
      <w:r w:rsidR="00015C6B" w:rsidRPr="00207B36">
        <w:rPr>
          <w:rFonts w:ascii="Times New Roman" w:hAnsi="Times New Roman" w:cs="Times New Roman"/>
          <w:sz w:val="24"/>
          <w:szCs w:val="24"/>
          <w:lang w:val="en-US"/>
        </w:rPr>
        <w:t xml:space="preserve">evaluation of value chains through the developed criteria. </w:t>
      </w:r>
      <w:r w:rsidRPr="00207B36">
        <w:rPr>
          <w:rFonts w:ascii="Times New Roman" w:hAnsi="Times New Roman" w:cs="Times New Roman"/>
          <w:sz w:val="24"/>
          <w:szCs w:val="24"/>
          <w:lang w:val="en-US"/>
        </w:rPr>
        <w:t>The rationale for this project is to facilitate the most efficient use of funding available to develop</w:t>
      </w:r>
      <w:r w:rsidR="00015C6B" w:rsidRPr="00207B36">
        <w:rPr>
          <w:rFonts w:ascii="Times New Roman" w:hAnsi="Times New Roman" w:cs="Times New Roman"/>
          <w:sz w:val="24"/>
          <w:szCs w:val="24"/>
          <w:lang w:val="en-US"/>
        </w:rPr>
        <w:t xml:space="preserve"> the</w:t>
      </w:r>
      <w:r w:rsidRPr="00207B36">
        <w:rPr>
          <w:rFonts w:ascii="Times New Roman" w:hAnsi="Times New Roman" w:cs="Times New Roman"/>
          <w:sz w:val="24"/>
          <w:szCs w:val="24"/>
          <w:lang w:val="en-US"/>
        </w:rPr>
        <w:t xml:space="preserve"> bioeconomy in any country</w:t>
      </w:r>
      <w:r w:rsidR="00015C6B" w:rsidRPr="00207B36">
        <w:rPr>
          <w:rFonts w:ascii="Times New Roman" w:hAnsi="Times New Roman" w:cs="Times New Roman"/>
          <w:sz w:val="24"/>
          <w:szCs w:val="24"/>
          <w:lang w:val="en-US"/>
        </w:rPr>
        <w:t>, with an initial focus on Ireland</w:t>
      </w:r>
      <w:r w:rsidRPr="00207B36">
        <w:rPr>
          <w:rFonts w:ascii="Times New Roman" w:hAnsi="Times New Roman" w:cs="Times New Roman"/>
          <w:sz w:val="24"/>
          <w:szCs w:val="24"/>
          <w:lang w:val="en-US"/>
        </w:rPr>
        <w:t xml:space="preserve">. By </w:t>
      </w:r>
      <w:r w:rsidR="00015C6B" w:rsidRPr="00207B36">
        <w:rPr>
          <w:rFonts w:ascii="Times New Roman" w:hAnsi="Times New Roman" w:cs="Times New Roman"/>
          <w:sz w:val="24"/>
          <w:szCs w:val="24"/>
          <w:lang w:val="en-US"/>
        </w:rPr>
        <w:t xml:space="preserve">developing </w:t>
      </w:r>
      <w:r w:rsidRPr="00207B36">
        <w:rPr>
          <w:rFonts w:ascii="Times New Roman" w:hAnsi="Times New Roman" w:cs="Times New Roman"/>
          <w:sz w:val="24"/>
          <w:szCs w:val="24"/>
          <w:lang w:val="en-US"/>
        </w:rPr>
        <w:t>the best biochain alternative to conventional value chains, this project hopes to help the government invest money wisely and increase the benefit-cost ratio. The project also suggests allied environment benefits or costs of investing in a particular value chain. It also hopes to forecast socio-cultural concerns that c</w:t>
      </w:r>
      <w:r w:rsidR="00015C6B" w:rsidRPr="00207B36">
        <w:rPr>
          <w:rFonts w:ascii="Times New Roman" w:hAnsi="Times New Roman" w:cs="Times New Roman"/>
          <w:sz w:val="24"/>
          <w:szCs w:val="24"/>
          <w:lang w:val="en-US"/>
        </w:rPr>
        <w:t>ould hinder the development of</w:t>
      </w:r>
      <w:r w:rsidRPr="00207B36">
        <w:rPr>
          <w:rFonts w:ascii="Times New Roman" w:hAnsi="Times New Roman" w:cs="Times New Roman"/>
          <w:sz w:val="24"/>
          <w:szCs w:val="24"/>
          <w:lang w:val="en-US"/>
        </w:rPr>
        <w:t xml:space="preserve"> </w:t>
      </w:r>
      <w:r w:rsidR="0006660B" w:rsidRPr="00207B36">
        <w:rPr>
          <w:rFonts w:ascii="Times New Roman" w:hAnsi="Times New Roman" w:cs="Times New Roman"/>
          <w:sz w:val="24"/>
          <w:szCs w:val="24"/>
          <w:lang w:val="en-US"/>
        </w:rPr>
        <w:t xml:space="preserve">a particular </w:t>
      </w:r>
      <w:r w:rsidRPr="00207B36">
        <w:rPr>
          <w:rFonts w:ascii="Times New Roman" w:hAnsi="Times New Roman" w:cs="Times New Roman"/>
          <w:sz w:val="24"/>
          <w:szCs w:val="24"/>
          <w:lang w:val="en-US"/>
        </w:rPr>
        <w:t>value chain.</w:t>
      </w:r>
    </w:p>
    <w:p w:rsidR="00293368" w:rsidRPr="00207B36" w:rsidRDefault="00293368" w:rsidP="00207B36">
      <w:pPr>
        <w:spacing w:line="480" w:lineRule="auto"/>
        <w:rPr>
          <w:rFonts w:ascii="Times New Roman" w:hAnsi="Times New Roman" w:cs="Times New Roman"/>
          <w:sz w:val="24"/>
          <w:szCs w:val="24"/>
          <w:lang w:val="en-US"/>
        </w:rPr>
      </w:pPr>
    </w:p>
    <w:p w:rsidR="0006238A" w:rsidRPr="00207B36" w:rsidRDefault="0006238A" w:rsidP="00207B36">
      <w:pPr>
        <w:spacing w:line="480" w:lineRule="auto"/>
        <w:rPr>
          <w:rFonts w:ascii="Times New Roman" w:hAnsi="Times New Roman" w:cs="Times New Roman"/>
          <w:b/>
          <w:sz w:val="24"/>
          <w:szCs w:val="24"/>
          <w:lang w:val="en-US"/>
        </w:rPr>
      </w:pPr>
    </w:p>
    <w:p w:rsidR="00CC5911" w:rsidRPr="00207B36" w:rsidRDefault="00CC5911" w:rsidP="00207B36">
      <w:pPr>
        <w:spacing w:line="480" w:lineRule="auto"/>
        <w:rPr>
          <w:rFonts w:ascii="Times New Roman" w:hAnsi="Times New Roman" w:cs="Times New Roman"/>
          <w:b/>
          <w:sz w:val="24"/>
          <w:szCs w:val="24"/>
          <w:lang w:val="en-US"/>
        </w:rPr>
      </w:pPr>
    </w:p>
    <w:p w:rsidR="00207B36" w:rsidRDefault="00207B36" w:rsidP="00207B36">
      <w:pPr>
        <w:spacing w:line="480" w:lineRule="auto"/>
        <w:rPr>
          <w:rFonts w:ascii="Times New Roman" w:hAnsi="Times New Roman" w:cs="Times New Roman"/>
          <w:b/>
          <w:sz w:val="24"/>
          <w:szCs w:val="24"/>
          <w:lang w:val="en-US"/>
        </w:rPr>
      </w:pPr>
    </w:p>
    <w:p w:rsidR="00207B36" w:rsidRDefault="00207B36" w:rsidP="00207B36">
      <w:pPr>
        <w:spacing w:line="480" w:lineRule="auto"/>
        <w:rPr>
          <w:rFonts w:ascii="Times New Roman" w:hAnsi="Times New Roman" w:cs="Times New Roman"/>
          <w:b/>
          <w:sz w:val="24"/>
          <w:szCs w:val="24"/>
          <w:lang w:val="en-US"/>
        </w:rPr>
      </w:pPr>
    </w:p>
    <w:p w:rsidR="00207B36" w:rsidRDefault="00207B36" w:rsidP="00207B36">
      <w:pPr>
        <w:spacing w:line="480" w:lineRule="auto"/>
        <w:rPr>
          <w:rFonts w:ascii="Times New Roman" w:hAnsi="Times New Roman" w:cs="Times New Roman"/>
          <w:b/>
          <w:sz w:val="24"/>
          <w:szCs w:val="24"/>
          <w:lang w:val="en-US"/>
        </w:rPr>
      </w:pPr>
    </w:p>
    <w:p w:rsidR="00207B36" w:rsidRDefault="00207B36" w:rsidP="00207B36">
      <w:pPr>
        <w:spacing w:line="480" w:lineRule="auto"/>
        <w:rPr>
          <w:rFonts w:ascii="Times New Roman" w:hAnsi="Times New Roman" w:cs="Times New Roman"/>
          <w:b/>
          <w:sz w:val="24"/>
          <w:szCs w:val="24"/>
          <w:lang w:val="en-US"/>
        </w:rPr>
      </w:pPr>
    </w:p>
    <w:p w:rsidR="00207B36" w:rsidRDefault="00207B36" w:rsidP="00207B36">
      <w:pPr>
        <w:spacing w:line="480" w:lineRule="auto"/>
        <w:rPr>
          <w:rFonts w:ascii="Times New Roman" w:hAnsi="Times New Roman" w:cs="Times New Roman"/>
          <w:b/>
          <w:sz w:val="24"/>
          <w:szCs w:val="24"/>
          <w:lang w:val="en-US"/>
        </w:rPr>
      </w:pPr>
    </w:p>
    <w:p w:rsidR="00207B36" w:rsidRDefault="00207B36" w:rsidP="00207B36">
      <w:pPr>
        <w:spacing w:line="480" w:lineRule="auto"/>
        <w:rPr>
          <w:rFonts w:ascii="Times New Roman" w:hAnsi="Times New Roman" w:cs="Times New Roman"/>
          <w:b/>
          <w:sz w:val="24"/>
          <w:szCs w:val="24"/>
          <w:lang w:val="en-US"/>
        </w:rPr>
      </w:pPr>
    </w:p>
    <w:p w:rsidR="00293368" w:rsidRPr="00207B36" w:rsidRDefault="00293368" w:rsidP="00207B36">
      <w:pPr>
        <w:spacing w:line="480" w:lineRule="auto"/>
        <w:rPr>
          <w:rFonts w:ascii="Times New Roman" w:hAnsi="Times New Roman" w:cs="Times New Roman"/>
          <w:sz w:val="24"/>
          <w:szCs w:val="24"/>
          <w:lang w:val="en-US"/>
        </w:rPr>
      </w:pPr>
      <w:r w:rsidRPr="00207B36">
        <w:rPr>
          <w:rFonts w:ascii="Times New Roman" w:hAnsi="Times New Roman" w:cs="Times New Roman"/>
          <w:b/>
          <w:sz w:val="24"/>
          <w:szCs w:val="24"/>
          <w:lang w:val="en-US"/>
        </w:rPr>
        <w:lastRenderedPageBreak/>
        <w:t>Background Context and R</w:t>
      </w:r>
      <w:r w:rsidR="0060377F" w:rsidRPr="00207B36">
        <w:rPr>
          <w:rFonts w:ascii="Times New Roman" w:hAnsi="Times New Roman" w:cs="Times New Roman"/>
          <w:b/>
          <w:sz w:val="24"/>
          <w:szCs w:val="24"/>
          <w:lang w:val="en-US"/>
        </w:rPr>
        <w:t>esearch Methods</w:t>
      </w:r>
      <w:r w:rsidRPr="00207B36">
        <w:rPr>
          <w:rFonts w:ascii="Times New Roman" w:hAnsi="Times New Roman" w:cs="Times New Roman"/>
          <w:b/>
          <w:sz w:val="24"/>
          <w:szCs w:val="24"/>
          <w:lang w:val="en-US"/>
        </w:rPr>
        <w:t xml:space="preserve"> </w:t>
      </w:r>
    </w:p>
    <w:p w:rsidR="00015C6B" w:rsidRPr="00207B36" w:rsidRDefault="00293368" w:rsidP="00207B36">
      <w:pPr>
        <w:spacing w:line="480" w:lineRule="auto"/>
        <w:rPr>
          <w:rFonts w:ascii="Times New Roman" w:hAnsi="Times New Roman" w:cs="Times New Roman"/>
          <w:iCs/>
          <w:sz w:val="24"/>
          <w:szCs w:val="24"/>
          <w:lang w:val="en-US"/>
        </w:rPr>
      </w:pPr>
      <w:r w:rsidRPr="00207B36">
        <w:rPr>
          <w:rFonts w:ascii="Times New Roman" w:hAnsi="Times New Roman" w:cs="Times New Roman"/>
          <w:iCs/>
          <w:sz w:val="24"/>
          <w:szCs w:val="24"/>
          <w:lang w:val="en-US"/>
        </w:rPr>
        <w:t>Bioeconomy refers to all economic activity derived from scientific and research activity focused on biotechnology. In other words, understanding mechanisms and processes at the genetic and molecular levels and applying this understanding to creating or improving industrial processes. There are multiple reasons to support the development of bioeconomy value chains (McCormick and Kautto, 2013). First, the availability of fossil resources is becoming increasingly limited and its usage leads to global warming and associated drastic secondary effects. Although there are multiple technologies to produce renewable energy to substitute fossil fuels, such as wind or solar energy, the most economically feasible renewable replace</w:t>
      </w:r>
      <w:r w:rsidRPr="00207B36">
        <w:rPr>
          <w:rFonts w:ascii="Times New Roman" w:hAnsi="Times New Roman" w:cs="Times New Roman"/>
          <w:iCs/>
          <w:sz w:val="24"/>
          <w:szCs w:val="24"/>
          <w:lang w:val="en-US"/>
        </w:rPr>
        <w:softHyphen/>
        <w:t>ment of hydrocarbon resources for material use is probably only possible through biomass production. Biomass is virtually omnipresent and therefore also avail</w:t>
      </w:r>
      <w:r w:rsidRPr="00207B36">
        <w:rPr>
          <w:rFonts w:ascii="Times New Roman" w:hAnsi="Times New Roman" w:cs="Times New Roman"/>
          <w:iCs/>
          <w:sz w:val="24"/>
          <w:szCs w:val="24"/>
          <w:lang w:val="en-US"/>
        </w:rPr>
        <w:softHyphen/>
        <w:t>able to economically disadvantaged and rural population across a country. Using biomass in novel value chains offers new job and income opportunities as well as the potential for development of more efficient innovative processes (McCormick and Kautto, 2013). However, public perception of competi</w:t>
      </w:r>
      <w:r w:rsidRPr="00207B36">
        <w:rPr>
          <w:rFonts w:ascii="Times New Roman" w:hAnsi="Times New Roman" w:cs="Times New Roman"/>
          <w:iCs/>
          <w:sz w:val="24"/>
          <w:szCs w:val="24"/>
          <w:lang w:val="en-US"/>
        </w:rPr>
        <w:softHyphen/>
        <w:t>tion between bioenergy and food resources (the “food versus fuel” debate) has emerged as a great obstacle in the acceptance of bioenergy (Pfau et al., 2014). Other concerns include potential regional land-use change implications and reduced water and nutrient supply due to divergence of resources to these newly</w:t>
      </w:r>
      <w:r w:rsidR="00015C6B" w:rsidRPr="00207B36">
        <w:rPr>
          <w:rFonts w:ascii="Times New Roman" w:eastAsia="Times New Roman" w:hAnsi="Times New Roman" w:cs="Times New Roman"/>
          <w:iCs/>
          <w:sz w:val="24"/>
          <w:szCs w:val="24"/>
          <w:lang w:val="en-US" w:eastAsia="en-IE"/>
        </w:rPr>
        <w:t xml:space="preserve"> </w:t>
      </w:r>
      <w:r w:rsidR="00015C6B" w:rsidRPr="00207B36">
        <w:rPr>
          <w:rFonts w:ascii="Times New Roman" w:hAnsi="Times New Roman" w:cs="Times New Roman"/>
          <w:iCs/>
          <w:sz w:val="24"/>
          <w:szCs w:val="24"/>
          <w:lang w:val="en-US"/>
        </w:rPr>
        <w:t xml:space="preserve">developed bio-chains (Rosengrant et al., 2013). In a European Commission (EC, 2010) public consultation similar concerns were raised. The majority of respondents feared over-exploitation of natural resources and impacts on food security as the most relevant risks that needed assessment accompanying any potential bioeconomy development. Wicke et al., (2015) concluded that political promotion incentives and subsidies for liquid biofuels increased the global demand for biomass and consequently affected global food prices. Therefore, the EU changed its biofuel policies to only support second generation biofuels produced from lingo-cellulosic </w:t>
      </w:r>
      <w:r w:rsidR="00015C6B" w:rsidRPr="00207B36">
        <w:rPr>
          <w:rFonts w:ascii="Times New Roman" w:hAnsi="Times New Roman" w:cs="Times New Roman"/>
          <w:iCs/>
          <w:sz w:val="24"/>
          <w:szCs w:val="24"/>
          <w:lang w:val="en-US"/>
        </w:rPr>
        <w:lastRenderedPageBreak/>
        <w:t xml:space="preserve">biomass, either from crop residues or from crops grown on waste land. Thus, the proactive role of EU has played a major role to create fertile ground for social acceptability and sustainability of the bioeconomy value chains. </w:t>
      </w:r>
    </w:p>
    <w:p w:rsidR="00015C6B" w:rsidRPr="00207B36" w:rsidRDefault="00015C6B" w:rsidP="00207B36">
      <w:pPr>
        <w:spacing w:line="480" w:lineRule="auto"/>
        <w:rPr>
          <w:rFonts w:ascii="Times New Roman" w:hAnsi="Times New Roman" w:cs="Times New Roman"/>
          <w:iCs/>
          <w:sz w:val="24"/>
          <w:szCs w:val="24"/>
          <w:lang w:val="en-IE"/>
        </w:rPr>
      </w:pPr>
      <w:r w:rsidRPr="00207B36">
        <w:rPr>
          <w:rFonts w:ascii="Times New Roman" w:hAnsi="Times New Roman" w:cs="Times New Roman"/>
          <w:iCs/>
          <w:sz w:val="24"/>
          <w:szCs w:val="24"/>
          <w:lang w:val="en-IE"/>
        </w:rPr>
        <w:t>Holistic overall assessment of the socio-economic and environmental performance of different bioeconomy value chains is important to aid evidence-based policy making. Currently, the most popularly accepted and extensively used method to assess environmental impacts is Life Cycle Assessment (LCA). LCA includes all processes from the extraction of resources to the end-of-life discard</w:t>
      </w:r>
      <w:r w:rsidR="001B7D56" w:rsidRPr="00207B36">
        <w:rPr>
          <w:rFonts w:ascii="Times New Roman" w:hAnsi="Times New Roman" w:cs="Times New Roman"/>
          <w:iCs/>
          <w:sz w:val="24"/>
          <w:szCs w:val="24"/>
          <w:lang w:val="en-IE"/>
        </w:rPr>
        <w:t xml:space="preserve">ing i.e. “from cradle to grave”. </w:t>
      </w:r>
      <w:r w:rsidR="005E27FF" w:rsidRPr="00207B36">
        <w:rPr>
          <w:rFonts w:ascii="Times New Roman" w:hAnsi="Times New Roman" w:cs="Times New Roman"/>
          <w:iCs/>
          <w:sz w:val="24"/>
          <w:szCs w:val="24"/>
          <w:lang w:val="en-IE"/>
        </w:rPr>
        <w:t>The</w:t>
      </w:r>
      <w:r w:rsidRPr="00207B36">
        <w:rPr>
          <w:rFonts w:ascii="Times New Roman" w:hAnsi="Times New Roman" w:cs="Times New Roman"/>
          <w:iCs/>
          <w:sz w:val="24"/>
          <w:szCs w:val="24"/>
          <w:lang w:val="en-IE"/>
        </w:rPr>
        <w:t xml:space="preserve"> end products of one value chain could be fed as an input to a new bioeconomy value chain (Carrez et al., 2015). In this </w:t>
      </w:r>
      <w:r w:rsidR="00DB2209" w:rsidRPr="00207B36">
        <w:rPr>
          <w:rFonts w:ascii="Times New Roman" w:hAnsi="Times New Roman" w:cs="Times New Roman"/>
          <w:iCs/>
          <w:sz w:val="24"/>
          <w:szCs w:val="24"/>
          <w:lang w:val="en-IE"/>
        </w:rPr>
        <w:t>study,</w:t>
      </w:r>
      <w:r w:rsidRPr="00207B36">
        <w:rPr>
          <w:rFonts w:ascii="Times New Roman" w:hAnsi="Times New Roman" w:cs="Times New Roman"/>
          <w:iCs/>
          <w:sz w:val="24"/>
          <w:szCs w:val="24"/>
          <w:lang w:val="en-IE"/>
        </w:rPr>
        <w:t xml:space="preserve"> we refer to “biomass supply” as “the process of biomass production, harvesting, pre-treatment, transport to the plant gate, use by consumer and discarding into a new value chain.” The rationale behind choosing the wider chain is that sustainable production of biomass alone cannot ensure that this biomass is available to consumers and industry, if processing facilities, transport infrastructure or recycling units are missing (Lewandowski., 2015). In this study, LCA-based Product Environmental Footprint (PEF) recommended by the European Union is used to evaluate the </w:t>
      </w:r>
      <w:r w:rsidR="005E27FF" w:rsidRPr="00207B36">
        <w:rPr>
          <w:rFonts w:ascii="Times New Roman" w:hAnsi="Times New Roman" w:cs="Times New Roman"/>
          <w:iCs/>
          <w:sz w:val="24"/>
          <w:szCs w:val="24"/>
          <w:lang w:val="en-IE"/>
        </w:rPr>
        <w:t xml:space="preserve">economic and </w:t>
      </w:r>
      <w:r w:rsidRPr="00207B36">
        <w:rPr>
          <w:rFonts w:ascii="Times New Roman" w:hAnsi="Times New Roman" w:cs="Times New Roman"/>
          <w:iCs/>
          <w:sz w:val="24"/>
          <w:szCs w:val="24"/>
          <w:lang w:val="en-IE"/>
        </w:rPr>
        <w:t xml:space="preserve">environmental performance of product-system supply chains. A comparison of the merits of the PEF against other popular methods and standards for environmental impact assessment can be found in </w:t>
      </w:r>
      <w:r w:rsidRPr="00207B36">
        <w:rPr>
          <w:rFonts w:ascii="Times New Roman" w:hAnsi="Times New Roman" w:cs="Times New Roman"/>
          <w:iCs/>
          <w:sz w:val="24"/>
          <w:szCs w:val="24"/>
          <w:lang w:val="en-US"/>
        </w:rPr>
        <w:t>Cristobal et al., (2016)</w:t>
      </w:r>
      <w:r w:rsidRPr="00207B36">
        <w:rPr>
          <w:rFonts w:ascii="Times New Roman" w:hAnsi="Times New Roman" w:cs="Times New Roman"/>
          <w:iCs/>
          <w:sz w:val="24"/>
          <w:szCs w:val="24"/>
          <w:lang w:val="en-IE"/>
        </w:rPr>
        <w:t xml:space="preserve">. </w:t>
      </w:r>
      <w:r w:rsidRPr="00207B36">
        <w:rPr>
          <w:rFonts w:ascii="Times New Roman" w:hAnsi="Times New Roman" w:cs="Times New Roman"/>
          <w:iCs/>
          <w:sz w:val="24"/>
          <w:szCs w:val="24"/>
          <w:lang w:val="en-US"/>
        </w:rPr>
        <w:t xml:space="preserve">The PEF is </w:t>
      </w:r>
      <w:r w:rsidR="00DB2209" w:rsidRPr="00207B36">
        <w:rPr>
          <w:rFonts w:ascii="Times New Roman" w:hAnsi="Times New Roman" w:cs="Times New Roman"/>
          <w:iCs/>
          <w:sz w:val="24"/>
          <w:szCs w:val="24"/>
          <w:lang w:val="en-US"/>
        </w:rPr>
        <w:t>a multi-criterion</w:t>
      </w:r>
      <w:r w:rsidRPr="00207B36">
        <w:rPr>
          <w:rFonts w:ascii="Times New Roman" w:hAnsi="Times New Roman" w:cs="Times New Roman"/>
          <w:iCs/>
          <w:sz w:val="24"/>
          <w:szCs w:val="24"/>
          <w:lang w:val="en-US"/>
        </w:rPr>
        <w:t xml:space="preserve"> measure of the environmental performance of goods and services from a life cycle perspective. PEF was produced for the overarching purpose of identifying and seeking to reduce the environmental impacts associated with goods and services, taking into account supply chain activities, as any other</w:t>
      </w:r>
      <w:r w:rsidR="00C64344" w:rsidRPr="00207B36">
        <w:rPr>
          <w:rFonts w:ascii="Times New Roman" w:hAnsi="Times New Roman" w:cs="Times New Roman"/>
          <w:iCs/>
          <w:sz w:val="24"/>
          <w:szCs w:val="24"/>
          <w:lang w:val="en-US"/>
        </w:rPr>
        <w:t xml:space="preserve"> LCA methodology</w:t>
      </w:r>
      <w:r w:rsidRPr="00207B36">
        <w:rPr>
          <w:rFonts w:ascii="Times New Roman" w:hAnsi="Times New Roman" w:cs="Times New Roman"/>
          <w:iCs/>
          <w:sz w:val="24"/>
          <w:szCs w:val="24"/>
          <w:lang w:val="en-US"/>
        </w:rPr>
        <w:t xml:space="preserve">. </w:t>
      </w:r>
      <w:r w:rsidR="00C64344" w:rsidRPr="00207B36">
        <w:rPr>
          <w:rFonts w:ascii="Times New Roman" w:hAnsi="Times New Roman" w:cs="Times New Roman"/>
          <w:iCs/>
          <w:sz w:val="24"/>
          <w:szCs w:val="24"/>
          <w:lang w:val="en-US"/>
        </w:rPr>
        <w:t>But t</w:t>
      </w:r>
      <w:r w:rsidRPr="00207B36">
        <w:rPr>
          <w:rFonts w:ascii="Times New Roman" w:hAnsi="Times New Roman" w:cs="Times New Roman"/>
          <w:iCs/>
          <w:sz w:val="24"/>
          <w:szCs w:val="24"/>
          <w:lang w:val="en-US"/>
        </w:rPr>
        <w:t xml:space="preserve">o make PEF more relevant than any other LCA, </w:t>
      </w:r>
      <w:r w:rsidR="00C64344" w:rsidRPr="00207B36">
        <w:rPr>
          <w:rFonts w:ascii="Times New Roman" w:hAnsi="Times New Roman" w:cs="Times New Roman"/>
          <w:iCs/>
          <w:sz w:val="24"/>
          <w:szCs w:val="24"/>
          <w:lang w:val="en-US"/>
        </w:rPr>
        <w:t xml:space="preserve">the </w:t>
      </w:r>
      <w:r w:rsidRPr="00207B36">
        <w:rPr>
          <w:rFonts w:ascii="Times New Roman" w:hAnsi="Times New Roman" w:cs="Times New Roman"/>
          <w:iCs/>
          <w:sz w:val="24"/>
          <w:szCs w:val="24"/>
          <w:lang w:val="en-US"/>
        </w:rPr>
        <w:t>EC developed Product Environmental Footprint Category Rules (PEFCRs) that provide category-specific guidance for calculating and reporting life cycle environmental impacts of prod</w:t>
      </w:r>
      <w:r w:rsidR="00C64344" w:rsidRPr="00207B36">
        <w:rPr>
          <w:rFonts w:ascii="Times New Roman" w:hAnsi="Times New Roman" w:cs="Times New Roman"/>
          <w:iCs/>
          <w:sz w:val="24"/>
          <w:szCs w:val="24"/>
          <w:lang w:val="en-US"/>
        </w:rPr>
        <w:t xml:space="preserve">ucts </w:t>
      </w:r>
      <w:r w:rsidR="008A46CB" w:rsidRPr="00207B36">
        <w:rPr>
          <w:rFonts w:ascii="Times New Roman" w:hAnsi="Times New Roman" w:cs="Times New Roman"/>
          <w:iCs/>
          <w:sz w:val="24"/>
          <w:szCs w:val="24"/>
          <w:lang w:val="en-US"/>
        </w:rPr>
        <w:t>through the economic supply-</w:t>
      </w:r>
      <w:r w:rsidR="008A46CB" w:rsidRPr="00207B36">
        <w:rPr>
          <w:rFonts w:ascii="Times New Roman" w:hAnsi="Times New Roman" w:cs="Times New Roman"/>
          <w:iCs/>
          <w:sz w:val="24"/>
          <w:szCs w:val="24"/>
          <w:lang w:val="en-US"/>
        </w:rPr>
        <w:lastRenderedPageBreak/>
        <w:t xml:space="preserve">chain </w:t>
      </w:r>
      <w:r w:rsidR="00C64344" w:rsidRPr="00207B36">
        <w:rPr>
          <w:rFonts w:ascii="Times New Roman" w:hAnsi="Times New Roman" w:cs="Times New Roman"/>
          <w:iCs/>
          <w:sz w:val="24"/>
          <w:szCs w:val="24"/>
          <w:lang w:val="en-US"/>
        </w:rPr>
        <w:t>in a consistent</w:t>
      </w:r>
      <w:r w:rsidRPr="00207B36">
        <w:rPr>
          <w:rFonts w:ascii="Times New Roman" w:hAnsi="Times New Roman" w:cs="Times New Roman"/>
          <w:iCs/>
          <w:sz w:val="24"/>
          <w:szCs w:val="24"/>
          <w:lang w:val="en-US"/>
        </w:rPr>
        <w:t xml:space="preserve"> way. </w:t>
      </w:r>
      <w:r w:rsidRPr="00207B36">
        <w:rPr>
          <w:rFonts w:ascii="Times New Roman" w:hAnsi="Times New Roman" w:cs="Times New Roman"/>
          <w:iCs/>
          <w:sz w:val="24"/>
          <w:szCs w:val="24"/>
          <w:lang w:val="en-IE"/>
        </w:rPr>
        <w:t>The PEF includes fourteen impact categories to ensure comprehensive evaluation of the environmental performance across the economic supply chain.</w:t>
      </w:r>
      <w:r w:rsidR="00C64344" w:rsidRPr="00207B36">
        <w:rPr>
          <w:rFonts w:ascii="Times New Roman" w:hAnsi="Times New Roman" w:cs="Times New Roman"/>
          <w:iCs/>
          <w:sz w:val="24"/>
          <w:szCs w:val="24"/>
          <w:lang w:val="en-IE"/>
        </w:rPr>
        <w:t xml:space="preserve"> However, it is</w:t>
      </w:r>
      <w:r w:rsidRPr="00207B36">
        <w:rPr>
          <w:rFonts w:ascii="Times New Roman" w:hAnsi="Times New Roman" w:cs="Times New Roman"/>
          <w:iCs/>
          <w:sz w:val="24"/>
          <w:szCs w:val="24"/>
          <w:lang w:val="en-IE"/>
        </w:rPr>
        <w:t xml:space="preserve"> common practice to </w:t>
      </w:r>
      <w:r w:rsidR="0005346E" w:rsidRPr="00207B36">
        <w:rPr>
          <w:rFonts w:ascii="Times New Roman" w:hAnsi="Times New Roman" w:cs="Times New Roman"/>
          <w:iCs/>
          <w:sz w:val="24"/>
          <w:szCs w:val="24"/>
          <w:lang w:val="en-IE"/>
        </w:rPr>
        <w:t>add/</w:t>
      </w:r>
      <w:r w:rsidRPr="00207B36">
        <w:rPr>
          <w:rFonts w:ascii="Times New Roman" w:hAnsi="Times New Roman" w:cs="Times New Roman"/>
          <w:iCs/>
          <w:sz w:val="24"/>
          <w:szCs w:val="24"/>
          <w:lang w:val="en-IE"/>
        </w:rPr>
        <w:t>limit the number of impact categories to the ones relevant to particular project. This also reduces data collection efforts. The objective of performing a LCA can be either (1) measure the consequences of altering a system, or (2) analyse t</w:t>
      </w:r>
      <w:r w:rsidR="00992E4F" w:rsidRPr="00207B36">
        <w:rPr>
          <w:rFonts w:ascii="Times New Roman" w:hAnsi="Times New Roman" w:cs="Times New Roman"/>
          <w:iCs/>
          <w:sz w:val="24"/>
          <w:szCs w:val="24"/>
          <w:lang w:val="en-IE"/>
        </w:rPr>
        <w:t>he environmental impacts along the product</w:t>
      </w:r>
      <w:r w:rsidRPr="00207B36">
        <w:rPr>
          <w:rFonts w:ascii="Times New Roman" w:hAnsi="Times New Roman" w:cs="Times New Roman"/>
          <w:iCs/>
          <w:sz w:val="24"/>
          <w:szCs w:val="24"/>
          <w:lang w:val="en-IE"/>
        </w:rPr>
        <w:t xml:space="preserve"> life cycle. These two goals are frequently tackled by consequential LCA and attribution LCA, respectively (Cr</w:t>
      </w:r>
      <w:r w:rsidR="00992E4F" w:rsidRPr="00207B36">
        <w:rPr>
          <w:rFonts w:ascii="Times New Roman" w:hAnsi="Times New Roman" w:cs="Times New Roman"/>
          <w:iCs/>
          <w:sz w:val="24"/>
          <w:szCs w:val="24"/>
          <w:lang w:val="en-IE"/>
        </w:rPr>
        <w:t xml:space="preserve">istobal et al., 2016). The LCA suggested in this study is largely </w:t>
      </w:r>
      <w:r w:rsidRPr="00207B36">
        <w:rPr>
          <w:rFonts w:ascii="Times New Roman" w:hAnsi="Times New Roman" w:cs="Times New Roman"/>
          <w:iCs/>
          <w:sz w:val="24"/>
          <w:szCs w:val="24"/>
          <w:lang w:val="en-IE"/>
        </w:rPr>
        <w:t xml:space="preserve">based on the framework provided by the “methodology for environmental sustainability assessment” developed for the European Commission (EC, 2012), Bioeconomy Information System and Observatory (BISO) project. This methodology is largely based upon the LCA guidelines suggested by the EC PEF method and the International Reference Life Cycle Data System (ILCD) Handbook. </w:t>
      </w:r>
      <w:r w:rsidR="00ED612C" w:rsidRPr="00207B36">
        <w:rPr>
          <w:rFonts w:ascii="Times New Roman" w:hAnsi="Times New Roman" w:cs="Times New Roman"/>
          <w:iCs/>
          <w:sz w:val="24"/>
          <w:szCs w:val="24"/>
          <w:lang w:val="en-IE"/>
        </w:rPr>
        <w:t xml:space="preserve">To make the assessment more holistic, social sustainability would also be evaluated which is explained in the Section 3 of this document. </w:t>
      </w:r>
      <w:r w:rsidRPr="00207B36">
        <w:rPr>
          <w:rFonts w:ascii="Times New Roman" w:hAnsi="Times New Roman" w:cs="Times New Roman"/>
          <w:iCs/>
          <w:sz w:val="24"/>
          <w:szCs w:val="24"/>
          <w:lang w:val="en-IE"/>
        </w:rPr>
        <w:t>All these measures would ensure consistent and robust life cycle results of bio-based products and their supply chains (Cristobal et al., 2016).</w:t>
      </w:r>
      <w:r w:rsidR="00B84E40" w:rsidRPr="00207B36">
        <w:rPr>
          <w:rFonts w:ascii="Times New Roman" w:hAnsi="Times New Roman" w:cs="Times New Roman"/>
          <w:iCs/>
          <w:sz w:val="24"/>
          <w:szCs w:val="24"/>
          <w:lang w:val="en-IE"/>
        </w:rPr>
        <w:t xml:space="preserve"> </w:t>
      </w:r>
    </w:p>
    <w:p w:rsidR="00F50583" w:rsidRPr="00207B36" w:rsidRDefault="00015C6B" w:rsidP="00207B36">
      <w:pPr>
        <w:spacing w:line="480" w:lineRule="auto"/>
        <w:rPr>
          <w:rFonts w:ascii="Times New Roman" w:hAnsi="Times New Roman" w:cs="Times New Roman"/>
          <w:iCs/>
          <w:sz w:val="24"/>
          <w:szCs w:val="24"/>
          <w:lang w:val="en-IE"/>
        </w:rPr>
      </w:pPr>
      <w:r w:rsidRPr="00207B36">
        <w:rPr>
          <w:rFonts w:ascii="Times New Roman" w:hAnsi="Times New Roman" w:cs="Times New Roman"/>
          <w:iCs/>
          <w:sz w:val="24"/>
          <w:szCs w:val="24"/>
          <w:lang w:val="en-IE"/>
        </w:rPr>
        <w:t>For example, biofuels are generally assumed to reduce carbon pollution compare</w:t>
      </w:r>
      <w:r w:rsidR="0076593E" w:rsidRPr="00207B36">
        <w:rPr>
          <w:rFonts w:ascii="Times New Roman" w:hAnsi="Times New Roman" w:cs="Times New Roman"/>
          <w:iCs/>
          <w:sz w:val="24"/>
          <w:szCs w:val="24"/>
          <w:lang w:val="en-IE"/>
        </w:rPr>
        <w:t>d to conventional fossil fuels, t</w:t>
      </w:r>
      <w:r w:rsidR="00F23CCE" w:rsidRPr="00207B36">
        <w:rPr>
          <w:rFonts w:ascii="Times New Roman" w:hAnsi="Times New Roman" w:cs="Times New Roman"/>
          <w:iCs/>
          <w:sz w:val="24"/>
          <w:szCs w:val="24"/>
          <w:lang w:val="en-IE"/>
        </w:rPr>
        <w:t xml:space="preserve">he conventional fossil fuel petrol was therefore included as a reference benchmark in this study. </w:t>
      </w:r>
      <w:r w:rsidRPr="00207B36">
        <w:rPr>
          <w:rFonts w:ascii="Times New Roman" w:hAnsi="Times New Roman" w:cs="Times New Roman"/>
          <w:iCs/>
          <w:sz w:val="24"/>
          <w:szCs w:val="24"/>
          <w:lang w:val="en-IE"/>
        </w:rPr>
        <w:t>However, it is important to evaluate whether unintended trade-offs may occur, along with quantifying the extent of their impacts. The PEF-LCA provides mechanisms to evaluate such trade-offs. For</w:t>
      </w:r>
      <w:r w:rsidR="00455117" w:rsidRPr="00207B36">
        <w:rPr>
          <w:rFonts w:ascii="Times New Roman" w:hAnsi="Times New Roman" w:cs="Times New Roman"/>
          <w:iCs/>
          <w:sz w:val="24"/>
          <w:szCs w:val="24"/>
          <w:lang w:val="en-IE"/>
        </w:rPr>
        <w:t xml:space="preserve"> instance</w:t>
      </w:r>
      <w:r w:rsidRPr="00207B36">
        <w:rPr>
          <w:rFonts w:ascii="Times New Roman" w:hAnsi="Times New Roman" w:cs="Times New Roman"/>
          <w:iCs/>
          <w:sz w:val="24"/>
          <w:szCs w:val="24"/>
          <w:lang w:val="en-IE"/>
        </w:rPr>
        <w:t xml:space="preserve">: the LCA of bio-based ethanol report lower values for Ionising radiation </w:t>
      </w:r>
      <w:r w:rsidRPr="00207B36">
        <w:rPr>
          <w:rFonts w:ascii="Times New Roman" w:hAnsi="Times New Roman" w:cs="Times New Roman"/>
          <w:iCs/>
          <w:sz w:val="24"/>
          <w:szCs w:val="24"/>
          <w:lang w:val="en-US"/>
        </w:rPr>
        <w:t>(cancer effects), Ozone depletion and Climate change, but higher values for the remain</w:t>
      </w:r>
      <w:r w:rsidR="00ED612C" w:rsidRPr="00207B36">
        <w:rPr>
          <w:rFonts w:ascii="Times New Roman" w:hAnsi="Times New Roman" w:cs="Times New Roman"/>
          <w:iCs/>
          <w:sz w:val="24"/>
          <w:szCs w:val="24"/>
          <w:lang w:val="en-US"/>
        </w:rPr>
        <w:t>ing impact categories (such as Resource depletion and E</w:t>
      </w:r>
      <w:r w:rsidRPr="00207B36">
        <w:rPr>
          <w:rFonts w:ascii="Times New Roman" w:hAnsi="Times New Roman" w:cs="Times New Roman"/>
          <w:iCs/>
          <w:sz w:val="24"/>
          <w:szCs w:val="24"/>
          <w:lang w:val="en-US"/>
        </w:rPr>
        <w:t xml:space="preserve">utrophication) compared to petrol. From the perspective of </w:t>
      </w:r>
      <w:r w:rsidRPr="00207B36">
        <w:rPr>
          <w:rFonts w:ascii="Times New Roman" w:hAnsi="Times New Roman" w:cs="Times New Roman"/>
          <w:iCs/>
          <w:sz w:val="24"/>
          <w:szCs w:val="24"/>
          <w:lang w:val="en-IE"/>
        </w:rPr>
        <w:t xml:space="preserve">climate change, the actual use </w:t>
      </w:r>
      <w:r w:rsidR="001A33CA" w:rsidRPr="00207B36">
        <w:rPr>
          <w:rFonts w:ascii="Times New Roman" w:hAnsi="Times New Roman" w:cs="Times New Roman"/>
          <w:iCs/>
          <w:sz w:val="24"/>
          <w:szCs w:val="24"/>
          <w:lang w:val="en-IE"/>
        </w:rPr>
        <w:t xml:space="preserve">phase </w:t>
      </w:r>
      <w:r w:rsidR="006754F9" w:rsidRPr="00207B36">
        <w:rPr>
          <w:rFonts w:ascii="Times New Roman" w:hAnsi="Times New Roman" w:cs="Times New Roman"/>
          <w:iCs/>
          <w:sz w:val="24"/>
          <w:szCs w:val="24"/>
          <w:lang w:val="en-IE"/>
        </w:rPr>
        <w:t xml:space="preserve">(combustion to generate energy) </w:t>
      </w:r>
      <w:r w:rsidR="001A33CA" w:rsidRPr="00207B36">
        <w:rPr>
          <w:rFonts w:ascii="Times New Roman" w:hAnsi="Times New Roman" w:cs="Times New Roman"/>
          <w:iCs/>
          <w:sz w:val="24"/>
          <w:szCs w:val="24"/>
          <w:lang w:val="en-IE"/>
        </w:rPr>
        <w:t>CO2 equivalent</w:t>
      </w:r>
      <w:r w:rsidRPr="00207B36">
        <w:rPr>
          <w:rFonts w:ascii="Times New Roman" w:hAnsi="Times New Roman" w:cs="Times New Roman"/>
          <w:iCs/>
          <w:sz w:val="24"/>
          <w:szCs w:val="24"/>
          <w:lang w:val="en-IE"/>
        </w:rPr>
        <w:t xml:space="preserve"> emissions per km from petrol at 210 g km−1 are around six times higher than</w:t>
      </w:r>
      <w:r w:rsidR="00F50583" w:rsidRPr="00207B36">
        <w:rPr>
          <w:rFonts w:ascii="Times New Roman" w:hAnsi="Times New Roman" w:cs="Times New Roman"/>
          <w:iCs/>
          <w:sz w:val="24"/>
          <w:szCs w:val="24"/>
          <w:lang w:val="en-IE"/>
        </w:rPr>
        <w:t xml:space="preserve"> the ones from bio-based ethanol E85 at 37 g </w:t>
      </w:r>
      <w:r w:rsidR="00F50583" w:rsidRPr="00207B36">
        <w:rPr>
          <w:rFonts w:ascii="Times New Roman" w:hAnsi="Times New Roman" w:cs="Times New Roman"/>
          <w:iCs/>
          <w:sz w:val="24"/>
          <w:szCs w:val="24"/>
          <w:lang w:val="en-IE"/>
        </w:rPr>
        <w:lastRenderedPageBreak/>
        <w:t xml:space="preserve">km−1. But, when considering the CO2 eq. emissions along the whole LCA chain, the difference between bio-based ethanol and petrol is markedly reduced (Cristobal et al., 2016). </w:t>
      </w:r>
      <w:r w:rsidR="00ED612C" w:rsidRPr="00207B36">
        <w:rPr>
          <w:rFonts w:ascii="Times New Roman" w:hAnsi="Times New Roman" w:cs="Times New Roman"/>
          <w:iCs/>
          <w:sz w:val="24"/>
          <w:szCs w:val="24"/>
          <w:lang w:val="en-IE"/>
        </w:rPr>
        <w:t xml:space="preserve">It is </w:t>
      </w:r>
      <w:r w:rsidR="00E85553" w:rsidRPr="00207B36">
        <w:rPr>
          <w:rFonts w:ascii="Times New Roman" w:hAnsi="Times New Roman" w:cs="Times New Roman"/>
          <w:iCs/>
          <w:sz w:val="24"/>
          <w:szCs w:val="24"/>
          <w:lang w:val="en-IE"/>
        </w:rPr>
        <w:t xml:space="preserve">because while ethanol combustion is relatively environment friendly but </w:t>
      </w:r>
      <w:r w:rsidR="009A787B" w:rsidRPr="00207B36">
        <w:rPr>
          <w:rFonts w:ascii="Times New Roman" w:hAnsi="Times New Roman" w:cs="Times New Roman"/>
          <w:iCs/>
          <w:sz w:val="24"/>
          <w:szCs w:val="24"/>
          <w:lang w:val="en-IE"/>
        </w:rPr>
        <w:t>ethanol production (including sugar production, fermentation and ethanol separation)</w:t>
      </w:r>
      <w:r w:rsidR="00E85553" w:rsidRPr="00207B36">
        <w:rPr>
          <w:rFonts w:ascii="Times New Roman" w:hAnsi="Times New Roman" w:cs="Times New Roman"/>
          <w:iCs/>
          <w:sz w:val="24"/>
          <w:szCs w:val="24"/>
          <w:lang w:val="en-IE"/>
        </w:rPr>
        <w:t xml:space="preserve"> causes a lot of emission in the category of Fecotox (Ecotoxicity for aquatic fresh water) and HH,nce (Human toxicity – non-cancer effects) (Cristobal et al., 2016)</w:t>
      </w:r>
      <w:r w:rsidR="009A787B" w:rsidRPr="00207B36">
        <w:rPr>
          <w:rFonts w:ascii="Times New Roman" w:hAnsi="Times New Roman" w:cs="Times New Roman"/>
          <w:iCs/>
          <w:sz w:val="24"/>
          <w:szCs w:val="24"/>
          <w:lang w:val="en-IE"/>
        </w:rPr>
        <w:t>.</w:t>
      </w:r>
      <w:r w:rsidR="00E85553" w:rsidRPr="00207B36">
        <w:rPr>
          <w:rFonts w:ascii="Times New Roman" w:hAnsi="Times New Roman" w:cs="Times New Roman"/>
          <w:iCs/>
          <w:sz w:val="24"/>
          <w:szCs w:val="24"/>
          <w:lang w:val="en-IE"/>
        </w:rPr>
        <w:t xml:space="preserve"> </w:t>
      </w:r>
      <w:r w:rsidR="00F50583" w:rsidRPr="00207B36">
        <w:rPr>
          <w:rFonts w:ascii="Times New Roman" w:hAnsi="Times New Roman" w:cs="Times New Roman"/>
          <w:iCs/>
          <w:sz w:val="24"/>
          <w:szCs w:val="24"/>
          <w:lang w:val="en-IE"/>
        </w:rPr>
        <w:t>Thus, unintended trade-offs could vastly reduce the sustainability of a bio-value chain.</w:t>
      </w:r>
    </w:p>
    <w:p w:rsidR="00577DFB" w:rsidRPr="00207B36" w:rsidRDefault="00F50583" w:rsidP="00207B36">
      <w:pPr>
        <w:spacing w:line="480" w:lineRule="auto"/>
        <w:rPr>
          <w:rFonts w:ascii="Times New Roman" w:hAnsi="Times New Roman" w:cs="Times New Roman"/>
          <w:iCs/>
          <w:sz w:val="24"/>
          <w:szCs w:val="24"/>
          <w:lang w:val="en-IE"/>
        </w:rPr>
      </w:pPr>
      <w:r w:rsidRPr="00207B36">
        <w:rPr>
          <w:rFonts w:ascii="Times New Roman" w:hAnsi="Times New Roman" w:cs="Times New Roman"/>
          <w:iCs/>
          <w:sz w:val="24"/>
          <w:szCs w:val="24"/>
          <w:lang w:val="en-IE"/>
        </w:rPr>
        <w:t>Finally, the end-of-life of any product depends on the biodegradability potential of the material. For exa</w:t>
      </w:r>
      <w:r w:rsidR="00415E62" w:rsidRPr="00207B36">
        <w:rPr>
          <w:rFonts w:ascii="Times New Roman" w:hAnsi="Times New Roman" w:cs="Times New Roman"/>
          <w:iCs/>
          <w:sz w:val="24"/>
          <w:szCs w:val="24"/>
          <w:lang w:val="en-IE"/>
        </w:rPr>
        <w:t xml:space="preserve">mple, </w:t>
      </w:r>
      <w:r w:rsidR="006B0BD9" w:rsidRPr="00207B36">
        <w:rPr>
          <w:rFonts w:ascii="Times New Roman" w:hAnsi="Times New Roman" w:cs="Times New Roman"/>
          <w:iCs/>
          <w:sz w:val="24"/>
          <w:szCs w:val="24"/>
          <w:lang w:val="en-IE"/>
        </w:rPr>
        <w:t>Pietrini</w:t>
      </w:r>
      <w:r w:rsidRPr="00207B36">
        <w:rPr>
          <w:rFonts w:ascii="Times New Roman" w:hAnsi="Times New Roman" w:cs="Times New Roman"/>
          <w:iCs/>
          <w:sz w:val="24"/>
          <w:szCs w:val="24"/>
          <w:lang w:val="en-IE"/>
        </w:rPr>
        <w:t xml:space="preserve"> et al., </w:t>
      </w:r>
      <w:r w:rsidR="00415E62" w:rsidRPr="00207B36">
        <w:rPr>
          <w:rFonts w:ascii="Times New Roman" w:hAnsi="Times New Roman" w:cs="Times New Roman"/>
          <w:iCs/>
          <w:sz w:val="24"/>
          <w:szCs w:val="24"/>
          <w:lang w:val="en-IE"/>
        </w:rPr>
        <w:t>(</w:t>
      </w:r>
      <w:r w:rsidRPr="00207B36">
        <w:rPr>
          <w:rFonts w:ascii="Times New Roman" w:hAnsi="Times New Roman" w:cs="Times New Roman"/>
          <w:iCs/>
          <w:sz w:val="24"/>
          <w:szCs w:val="24"/>
          <w:lang w:val="en-IE"/>
        </w:rPr>
        <w:t>2007) concluded that the use of PHAs (biodegradable Polyhydroxyalkanoates polymers) biocomposite materials presented environmental benefits compared to the fossil materials when recycling the product because PHA materials could be shaped into products for different applicati</w:t>
      </w:r>
      <w:r w:rsidR="00BA7109" w:rsidRPr="00207B36">
        <w:rPr>
          <w:rFonts w:ascii="Times New Roman" w:hAnsi="Times New Roman" w:cs="Times New Roman"/>
          <w:iCs/>
          <w:sz w:val="24"/>
          <w:szCs w:val="24"/>
          <w:lang w:val="en-IE"/>
        </w:rPr>
        <w:t>ons (packaging, medical devices</w:t>
      </w:r>
      <w:r w:rsidRPr="00207B36">
        <w:rPr>
          <w:rFonts w:ascii="Times New Roman" w:hAnsi="Times New Roman" w:cs="Times New Roman"/>
          <w:iCs/>
          <w:sz w:val="24"/>
          <w:szCs w:val="24"/>
          <w:lang w:val="en-IE"/>
        </w:rPr>
        <w:t xml:space="preserve"> etc). </w:t>
      </w:r>
    </w:p>
    <w:p w:rsidR="00F50583" w:rsidRPr="00207B36" w:rsidRDefault="00415E62" w:rsidP="00207B36">
      <w:pPr>
        <w:spacing w:line="480" w:lineRule="auto"/>
        <w:rPr>
          <w:rFonts w:ascii="Times New Roman" w:hAnsi="Times New Roman" w:cs="Times New Roman"/>
          <w:iCs/>
          <w:sz w:val="24"/>
          <w:szCs w:val="24"/>
          <w:lang w:val="en-IE"/>
        </w:rPr>
      </w:pPr>
      <w:r w:rsidRPr="00207B36">
        <w:rPr>
          <w:rFonts w:ascii="Times New Roman" w:hAnsi="Times New Roman" w:cs="Times New Roman"/>
          <w:b/>
          <w:i/>
          <w:iCs/>
          <w:sz w:val="24"/>
          <w:szCs w:val="24"/>
          <w:lang w:val="en-IE"/>
        </w:rPr>
        <w:t xml:space="preserve">Research </w:t>
      </w:r>
      <w:r w:rsidR="00F50583" w:rsidRPr="00207B36">
        <w:rPr>
          <w:rFonts w:ascii="Times New Roman" w:hAnsi="Times New Roman" w:cs="Times New Roman"/>
          <w:b/>
          <w:i/>
          <w:iCs/>
          <w:sz w:val="24"/>
          <w:szCs w:val="24"/>
          <w:lang w:val="en-IE"/>
        </w:rPr>
        <w:t xml:space="preserve">Questions and </w:t>
      </w:r>
      <w:r w:rsidRPr="00207B36">
        <w:rPr>
          <w:rFonts w:ascii="Times New Roman" w:hAnsi="Times New Roman" w:cs="Times New Roman"/>
          <w:b/>
          <w:i/>
          <w:iCs/>
          <w:sz w:val="24"/>
          <w:szCs w:val="24"/>
          <w:lang w:val="en-IE"/>
        </w:rPr>
        <w:t xml:space="preserve">Specific </w:t>
      </w:r>
      <w:r w:rsidR="00F50583" w:rsidRPr="00207B36">
        <w:rPr>
          <w:rFonts w:ascii="Times New Roman" w:hAnsi="Times New Roman" w:cs="Times New Roman"/>
          <w:b/>
          <w:i/>
          <w:iCs/>
          <w:sz w:val="24"/>
          <w:szCs w:val="24"/>
          <w:lang w:val="en-IE"/>
        </w:rPr>
        <w:t>Research Methods</w:t>
      </w:r>
    </w:p>
    <w:p w:rsidR="00F50583" w:rsidRPr="00207B36" w:rsidRDefault="00F50583" w:rsidP="00207B36">
      <w:pPr>
        <w:spacing w:line="480" w:lineRule="auto"/>
        <w:rPr>
          <w:rFonts w:ascii="Times New Roman" w:hAnsi="Times New Roman" w:cs="Times New Roman"/>
          <w:iCs/>
          <w:sz w:val="24"/>
          <w:szCs w:val="24"/>
          <w:lang w:val="en"/>
        </w:rPr>
      </w:pPr>
      <w:r w:rsidRPr="00207B36">
        <w:rPr>
          <w:rFonts w:ascii="Times New Roman" w:hAnsi="Times New Roman" w:cs="Times New Roman"/>
          <w:iCs/>
          <w:sz w:val="24"/>
          <w:szCs w:val="24"/>
          <w:lang w:val="en"/>
        </w:rPr>
        <w:t>The preliminary questions were based on the final outcome desirable rather than them being so preliminary that defini</w:t>
      </w:r>
      <w:r w:rsidR="00BA7109" w:rsidRPr="00207B36">
        <w:rPr>
          <w:rFonts w:ascii="Times New Roman" w:hAnsi="Times New Roman" w:cs="Times New Roman"/>
          <w:iCs/>
          <w:sz w:val="24"/>
          <w:szCs w:val="24"/>
          <w:lang w:val="en"/>
        </w:rPr>
        <w:t xml:space="preserve">ng boundaries </w:t>
      </w:r>
      <w:r w:rsidR="00DF4DF7" w:rsidRPr="00207B36">
        <w:rPr>
          <w:rFonts w:ascii="Times New Roman" w:hAnsi="Times New Roman" w:cs="Times New Roman"/>
          <w:iCs/>
          <w:sz w:val="24"/>
          <w:szCs w:val="24"/>
          <w:lang w:val="en"/>
        </w:rPr>
        <w:t xml:space="preserve">for the research would have become </w:t>
      </w:r>
      <w:r w:rsidRPr="00207B36">
        <w:rPr>
          <w:rFonts w:ascii="Times New Roman" w:hAnsi="Times New Roman" w:cs="Times New Roman"/>
          <w:iCs/>
          <w:sz w:val="24"/>
          <w:szCs w:val="24"/>
          <w:lang w:val="en"/>
        </w:rPr>
        <w:t xml:space="preserve">difficult. </w:t>
      </w:r>
      <w:r w:rsidRPr="00207B36">
        <w:rPr>
          <w:rFonts w:ascii="Times New Roman" w:hAnsi="Times New Roman" w:cs="Times New Roman"/>
          <w:iCs/>
          <w:sz w:val="24"/>
          <w:szCs w:val="24"/>
          <w:lang w:val="en-IE"/>
        </w:rPr>
        <w:t>It is important to have det</w:t>
      </w:r>
      <w:r w:rsidR="00BA7109" w:rsidRPr="00207B36">
        <w:rPr>
          <w:rFonts w:ascii="Times New Roman" w:hAnsi="Times New Roman" w:cs="Times New Roman"/>
          <w:iCs/>
          <w:sz w:val="24"/>
          <w:szCs w:val="24"/>
          <w:lang w:val="en-IE"/>
        </w:rPr>
        <w:t xml:space="preserve">ermined research aims/objective and </w:t>
      </w:r>
      <w:r w:rsidRPr="00207B36">
        <w:rPr>
          <w:rFonts w:ascii="Times New Roman" w:hAnsi="Times New Roman" w:cs="Times New Roman"/>
          <w:iCs/>
          <w:sz w:val="24"/>
          <w:szCs w:val="24"/>
          <w:lang w:val="en-IE"/>
        </w:rPr>
        <w:t xml:space="preserve">questions at the start rather than researching without boundaries. </w:t>
      </w:r>
      <w:r w:rsidRPr="00207B36">
        <w:rPr>
          <w:rFonts w:ascii="Times New Roman" w:hAnsi="Times New Roman" w:cs="Times New Roman"/>
          <w:iCs/>
          <w:sz w:val="24"/>
          <w:szCs w:val="24"/>
          <w:lang w:val="en"/>
        </w:rPr>
        <w:t xml:space="preserve">It helps to keep in mind the relevant population, the intervention, the outcome and study design when framing these questions (Yin, 2009). For the same reason filtering the content becomes critical to best suit the current macroeconomic, geographic, technological expertise of Ireland. This also helps avoid biases which may </w:t>
      </w:r>
      <w:r w:rsidR="00BA7109" w:rsidRPr="00207B36">
        <w:rPr>
          <w:rFonts w:ascii="Times New Roman" w:hAnsi="Times New Roman" w:cs="Times New Roman"/>
          <w:iCs/>
          <w:sz w:val="24"/>
          <w:szCs w:val="24"/>
          <w:lang w:val="en"/>
        </w:rPr>
        <w:t xml:space="preserve">distort the results </w:t>
      </w:r>
      <w:r w:rsidRPr="00207B36">
        <w:rPr>
          <w:rFonts w:ascii="Times New Roman" w:hAnsi="Times New Roman" w:cs="Times New Roman"/>
          <w:iCs/>
          <w:sz w:val="24"/>
          <w:szCs w:val="24"/>
          <w:lang w:val="en"/>
        </w:rPr>
        <w:t>in the Irish context</w:t>
      </w:r>
      <w:r w:rsidR="00BA7109" w:rsidRPr="00207B36">
        <w:rPr>
          <w:rFonts w:ascii="Times New Roman" w:hAnsi="Times New Roman" w:cs="Times New Roman"/>
          <w:iCs/>
          <w:sz w:val="24"/>
          <w:szCs w:val="24"/>
          <w:lang w:val="en-IE"/>
        </w:rPr>
        <w:t xml:space="preserve">. Although </w:t>
      </w:r>
      <w:r w:rsidRPr="00207B36">
        <w:rPr>
          <w:rFonts w:ascii="Times New Roman" w:hAnsi="Times New Roman" w:cs="Times New Roman"/>
          <w:iCs/>
          <w:sz w:val="24"/>
          <w:szCs w:val="24"/>
          <w:lang w:val="en-IE"/>
        </w:rPr>
        <w:t>the bioeconomy has received much attention in Ireland, a country which prides itself on its sustainability ideals, not a very significant amount of peer-reviewed bioeconomy literature exists in the Irish context</w:t>
      </w:r>
      <w:r w:rsidR="00BA7109" w:rsidRPr="00207B36">
        <w:rPr>
          <w:rFonts w:ascii="Times New Roman" w:hAnsi="Times New Roman" w:cs="Times New Roman"/>
          <w:iCs/>
          <w:sz w:val="24"/>
          <w:szCs w:val="24"/>
          <w:lang w:val="en-IE"/>
        </w:rPr>
        <w:t xml:space="preserve">, except Devaney (2017) and </w:t>
      </w:r>
      <w:r w:rsidR="00BA7109" w:rsidRPr="00207B36">
        <w:rPr>
          <w:rFonts w:ascii="Times New Roman" w:hAnsi="Times New Roman" w:cs="Times New Roman"/>
          <w:sz w:val="24"/>
          <w:szCs w:val="24"/>
          <w:lang w:val="en-US"/>
        </w:rPr>
        <w:t xml:space="preserve">Devaney and Henchion (forthcoming 2017). </w:t>
      </w:r>
      <w:r w:rsidRPr="00207B36">
        <w:rPr>
          <w:rFonts w:ascii="Times New Roman" w:hAnsi="Times New Roman" w:cs="Times New Roman"/>
          <w:iCs/>
          <w:sz w:val="24"/>
          <w:szCs w:val="24"/>
          <w:lang w:val="en-IE"/>
        </w:rPr>
        <w:t xml:space="preserve">Therefore, the scientific papers selected for </w:t>
      </w:r>
      <w:r w:rsidRPr="00207B36">
        <w:rPr>
          <w:rFonts w:ascii="Times New Roman" w:hAnsi="Times New Roman" w:cs="Times New Roman"/>
          <w:iCs/>
          <w:sz w:val="24"/>
          <w:szCs w:val="24"/>
          <w:lang w:val="en-IE"/>
        </w:rPr>
        <w:lastRenderedPageBreak/>
        <w:t xml:space="preserve">review </w:t>
      </w:r>
      <w:r w:rsidR="00BA7109" w:rsidRPr="00207B36">
        <w:rPr>
          <w:rFonts w:ascii="Times New Roman" w:hAnsi="Times New Roman" w:cs="Times New Roman"/>
          <w:iCs/>
          <w:sz w:val="24"/>
          <w:szCs w:val="24"/>
          <w:lang w:val="en-IE"/>
        </w:rPr>
        <w:t>related t</w:t>
      </w:r>
      <w:r w:rsidR="009E475B" w:rsidRPr="00207B36">
        <w:rPr>
          <w:rFonts w:ascii="Times New Roman" w:hAnsi="Times New Roman" w:cs="Times New Roman"/>
          <w:iCs/>
          <w:sz w:val="24"/>
          <w:szCs w:val="24"/>
          <w:lang w:val="en-IE"/>
        </w:rPr>
        <w:t>o countries similar to Ireland in</w:t>
      </w:r>
      <w:r w:rsidRPr="00207B36">
        <w:rPr>
          <w:rFonts w:ascii="Times New Roman" w:hAnsi="Times New Roman" w:cs="Times New Roman"/>
          <w:iCs/>
          <w:sz w:val="24"/>
          <w:szCs w:val="24"/>
          <w:lang w:val="en-IE"/>
        </w:rPr>
        <w:t xml:space="preserve"> economic, environmental and soci</w:t>
      </w:r>
      <w:r w:rsidR="00BA7109" w:rsidRPr="00207B36">
        <w:rPr>
          <w:rFonts w:ascii="Times New Roman" w:hAnsi="Times New Roman" w:cs="Times New Roman"/>
          <w:iCs/>
          <w:sz w:val="24"/>
          <w:szCs w:val="24"/>
          <w:lang w:val="en-IE"/>
        </w:rPr>
        <w:t>al context. In case the studies</w:t>
      </w:r>
      <w:r w:rsidRPr="00207B36">
        <w:rPr>
          <w:rFonts w:ascii="Times New Roman" w:hAnsi="Times New Roman" w:cs="Times New Roman"/>
          <w:iCs/>
          <w:sz w:val="24"/>
          <w:szCs w:val="24"/>
          <w:lang w:val="en-IE"/>
        </w:rPr>
        <w:t xml:space="preserve"> are from a country with different priorities and contexts, onl</w:t>
      </w:r>
      <w:r w:rsidR="009E475B" w:rsidRPr="00207B36">
        <w:rPr>
          <w:rFonts w:ascii="Times New Roman" w:hAnsi="Times New Roman" w:cs="Times New Roman"/>
          <w:iCs/>
          <w:sz w:val="24"/>
          <w:szCs w:val="24"/>
          <w:lang w:val="en-IE"/>
        </w:rPr>
        <w:t xml:space="preserve">y the parameters that were </w:t>
      </w:r>
      <w:r w:rsidRPr="00207B36">
        <w:rPr>
          <w:rFonts w:ascii="Times New Roman" w:hAnsi="Times New Roman" w:cs="Times New Roman"/>
          <w:iCs/>
          <w:sz w:val="24"/>
          <w:szCs w:val="24"/>
          <w:lang w:val="en-IE"/>
        </w:rPr>
        <w:t>suitable for Ireland</w:t>
      </w:r>
      <w:r w:rsidR="00BA7109" w:rsidRPr="00207B36">
        <w:rPr>
          <w:rFonts w:ascii="Times New Roman" w:hAnsi="Times New Roman" w:cs="Times New Roman"/>
          <w:iCs/>
          <w:sz w:val="24"/>
          <w:szCs w:val="24"/>
          <w:lang w:val="en-IE"/>
        </w:rPr>
        <w:t xml:space="preserve"> were adopted</w:t>
      </w:r>
      <w:r w:rsidRPr="00207B36">
        <w:rPr>
          <w:rFonts w:ascii="Times New Roman" w:hAnsi="Times New Roman" w:cs="Times New Roman"/>
          <w:iCs/>
          <w:sz w:val="24"/>
          <w:szCs w:val="24"/>
          <w:lang w:val="en-IE"/>
        </w:rPr>
        <w:t xml:space="preserve">. </w:t>
      </w:r>
    </w:p>
    <w:p w:rsidR="00F50583" w:rsidRPr="00207B36" w:rsidRDefault="00F50583" w:rsidP="00207B36">
      <w:pPr>
        <w:spacing w:line="480" w:lineRule="auto"/>
        <w:rPr>
          <w:rFonts w:ascii="Times New Roman" w:hAnsi="Times New Roman" w:cs="Times New Roman"/>
          <w:iCs/>
          <w:sz w:val="24"/>
          <w:szCs w:val="24"/>
          <w:lang w:val="en-IE"/>
        </w:rPr>
      </w:pPr>
      <w:r w:rsidRPr="00207B36">
        <w:rPr>
          <w:rFonts w:ascii="Times New Roman" w:hAnsi="Times New Roman" w:cs="Times New Roman"/>
          <w:iCs/>
          <w:sz w:val="24"/>
          <w:szCs w:val="24"/>
          <w:lang w:val="en-IE"/>
        </w:rPr>
        <w:t xml:space="preserve">The project </w:t>
      </w:r>
      <w:r w:rsidR="00A72161" w:rsidRPr="00207B36">
        <w:rPr>
          <w:rFonts w:ascii="Times New Roman" w:hAnsi="Times New Roman" w:cs="Times New Roman"/>
          <w:iCs/>
          <w:sz w:val="24"/>
          <w:szCs w:val="24"/>
          <w:lang w:val="en-IE"/>
        </w:rPr>
        <w:t xml:space="preserve">goes forward and suggests a methodology to </w:t>
      </w:r>
      <w:r w:rsidRPr="00207B36">
        <w:rPr>
          <w:rFonts w:ascii="Times New Roman" w:hAnsi="Times New Roman" w:cs="Times New Roman"/>
          <w:iCs/>
          <w:sz w:val="24"/>
          <w:szCs w:val="24"/>
          <w:lang w:val="en-IE"/>
        </w:rPr>
        <w:t>evaluates the economic, environmental and social sustainability of different bi</w:t>
      </w:r>
      <w:r w:rsidR="002B4A53" w:rsidRPr="00207B36">
        <w:rPr>
          <w:rFonts w:ascii="Times New Roman" w:hAnsi="Times New Roman" w:cs="Times New Roman"/>
          <w:iCs/>
          <w:sz w:val="24"/>
          <w:szCs w:val="24"/>
          <w:lang w:val="en-IE"/>
        </w:rPr>
        <w:t>oeconomy value chains</w:t>
      </w:r>
      <w:r w:rsidRPr="00207B36">
        <w:rPr>
          <w:rFonts w:ascii="Times New Roman" w:hAnsi="Times New Roman" w:cs="Times New Roman"/>
          <w:iCs/>
          <w:sz w:val="24"/>
          <w:szCs w:val="24"/>
          <w:lang w:val="en-IE"/>
        </w:rPr>
        <w:t>. The value chains are themselves developed by Teagasc in collaboration with respective experts in their fields to avoid bias (Devaney and Henchion, 2016). The prima</w:t>
      </w:r>
      <w:r w:rsidR="009E475B" w:rsidRPr="00207B36">
        <w:rPr>
          <w:rFonts w:ascii="Times New Roman" w:hAnsi="Times New Roman" w:cs="Times New Roman"/>
          <w:iCs/>
          <w:sz w:val="24"/>
          <w:szCs w:val="24"/>
          <w:lang w:val="en-IE"/>
        </w:rPr>
        <w:t>ry source of information were</w:t>
      </w:r>
      <w:r w:rsidRPr="00207B36">
        <w:rPr>
          <w:rFonts w:ascii="Times New Roman" w:hAnsi="Times New Roman" w:cs="Times New Roman"/>
          <w:iCs/>
          <w:sz w:val="24"/>
          <w:szCs w:val="24"/>
          <w:lang w:val="en-IE"/>
        </w:rPr>
        <w:t xml:space="preserve"> database search engines including Google Scholar, Teagasc Online Library, UCD One Search and Elisilver</w:t>
      </w:r>
      <w:r w:rsidR="002B4A53" w:rsidRPr="00207B36">
        <w:rPr>
          <w:rFonts w:ascii="Times New Roman" w:hAnsi="Times New Roman" w:cs="Times New Roman"/>
          <w:iCs/>
          <w:sz w:val="24"/>
          <w:szCs w:val="24"/>
          <w:lang w:val="en-IE"/>
        </w:rPr>
        <w:t>’s</w:t>
      </w:r>
      <w:r w:rsidRPr="00207B36">
        <w:rPr>
          <w:rFonts w:ascii="Times New Roman" w:hAnsi="Times New Roman" w:cs="Times New Roman"/>
          <w:iCs/>
          <w:sz w:val="24"/>
          <w:szCs w:val="24"/>
          <w:lang w:val="en-IE"/>
        </w:rPr>
        <w:t xml:space="preserve"> database</w:t>
      </w:r>
      <w:r w:rsidR="002B4A53" w:rsidRPr="00207B36">
        <w:rPr>
          <w:rFonts w:ascii="Times New Roman" w:hAnsi="Times New Roman" w:cs="Times New Roman"/>
          <w:iCs/>
          <w:sz w:val="24"/>
          <w:szCs w:val="24"/>
          <w:lang w:val="en-IE"/>
        </w:rPr>
        <w:t>.</w:t>
      </w:r>
      <w:r w:rsidR="009E475B" w:rsidRPr="00207B36">
        <w:rPr>
          <w:rFonts w:ascii="Times New Roman" w:hAnsi="Times New Roman" w:cs="Times New Roman"/>
          <w:iCs/>
          <w:sz w:val="24"/>
          <w:szCs w:val="24"/>
          <w:lang w:val="en-IE"/>
        </w:rPr>
        <w:t xml:space="preserve"> The database search was </w:t>
      </w:r>
      <w:r w:rsidRPr="00207B36">
        <w:rPr>
          <w:rFonts w:ascii="Times New Roman" w:hAnsi="Times New Roman" w:cs="Times New Roman"/>
          <w:iCs/>
          <w:sz w:val="24"/>
          <w:szCs w:val="24"/>
          <w:lang w:val="en-IE"/>
        </w:rPr>
        <w:t>the primary source of information because a written proof can be accessed anytime in the future and the reference can be cited correctly. The Bioecon</w:t>
      </w:r>
      <w:r w:rsidR="009E475B" w:rsidRPr="00207B36">
        <w:rPr>
          <w:rFonts w:ascii="Times New Roman" w:hAnsi="Times New Roman" w:cs="Times New Roman"/>
          <w:iCs/>
          <w:sz w:val="24"/>
          <w:szCs w:val="24"/>
          <w:lang w:val="en-IE"/>
        </w:rPr>
        <w:t xml:space="preserve">omy project was </w:t>
      </w:r>
      <w:r w:rsidRPr="00207B36">
        <w:rPr>
          <w:rFonts w:ascii="Times New Roman" w:hAnsi="Times New Roman" w:cs="Times New Roman"/>
          <w:iCs/>
          <w:sz w:val="24"/>
          <w:szCs w:val="24"/>
          <w:lang w:val="en-IE"/>
        </w:rPr>
        <w:t xml:space="preserve">intended to be a </w:t>
      </w:r>
      <w:r w:rsidR="00A178DB" w:rsidRPr="00207B36">
        <w:rPr>
          <w:rFonts w:ascii="Times New Roman" w:hAnsi="Times New Roman" w:cs="Times New Roman"/>
          <w:iCs/>
          <w:sz w:val="24"/>
          <w:szCs w:val="24"/>
          <w:lang w:val="en-IE"/>
        </w:rPr>
        <w:t>four-month</w:t>
      </w:r>
      <w:r w:rsidR="00733111" w:rsidRPr="00207B36">
        <w:rPr>
          <w:rFonts w:ascii="Times New Roman" w:hAnsi="Times New Roman" w:cs="Times New Roman"/>
          <w:iCs/>
          <w:sz w:val="24"/>
          <w:szCs w:val="24"/>
          <w:lang w:val="en-IE"/>
        </w:rPr>
        <w:t xml:space="preserve"> undergraduate module </w:t>
      </w:r>
      <w:r w:rsidRPr="00207B36">
        <w:rPr>
          <w:rFonts w:ascii="Times New Roman" w:hAnsi="Times New Roman" w:cs="Times New Roman"/>
          <w:iCs/>
          <w:sz w:val="24"/>
          <w:szCs w:val="24"/>
          <w:lang w:val="en-IE"/>
        </w:rPr>
        <w:t>research project</w:t>
      </w:r>
      <w:r w:rsidR="00733111" w:rsidRPr="00207B36">
        <w:rPr>
          <w:rFonts w:ascii="Times New Roman" w:hAnsi="Times New Roman" w:cs="Times New Roman"/>
          <w:iCs/>
          <w:sz w:val="24"/>
          <w:szCs w:val="24"/>
          <w:lang w:val="en-IE"/>
        </w:rPr>
        <w:t>, therefore to fulfil the research objectives in</w:t>
      </w:r>
      <w:r w:rsidR="009E475B" w:rsidRPr="00207B36">
        <w:rPr>
          <w:rFonts w:ascii="Times New Roman" w:hAnsi="Times New Roman" w:cs="Times New Roman"/>
          <w:iCs/>
          <w:sz w:val="24"/>
          <w:szCs w:val="24"/>
          <w:lang w:val="en-IE"/>
        </w:rPr>
        <w:t xml:space="preserve"> the given time frame, it was considered </w:t>
      </w:r>
      <w:r w:rsidR="00733111" w:rsidRPr="00207B36">
        <w:rPr>
          <w:rFonts w:ascii="Times New Roman" w:hAnsi="Times New Roman" w:cs="Times New Roman"/>
          <w:iCs/>
          <w:sz w:val="24"/>
          <w:szCs w:val="24"/>
          <w:lang w:val="en-IE"/>
        </w:rPr>
        <w:t>appropriate to make it a desk based literature review project</w:t>
      </w:r>
      <w:r w:rsidRPr="00207B36">
        <w:rPr>
          <w:rFonts w:ascii="Times New Roman" w:hAnsi="Times New Roman" w:cs="Times New Roman"/>
          <w:iCs/>
          <w:sz w:val="24"/>
          <w:szCs w:val="24"/>
          <w:lang w:val="en-IE"/>
        </w:rPr>
        <w:t>. The evaluation questions specifically to be searched on database libraries would be:</w:t>
      </w:r>
    </w:p>
    <w:p w:rsidR="00F50583" w:rsidRPr="00207B36" w:rsidRDefault="00F50583" w:rsidP="00207B36">
      <w:pPr>
        <w:numPr>
          <w:ilvl w:val="0"/>
          <w:numId w:val="2"/>
        </w:numPr>
        <w:spacing w:after="0" w:line="480" w:lineRule="auto"/>
        <w:ind w:left="714" w:hanging="357"/>
        <w:rPr>
          <w:rFonts w:ascii="Times New Roman" w:hAnsi="Times New Roman" w:cs="Times New Roman"/>
          <w:iCs/>
          <w:sz w:val="24"/>
          <w:szCs w:val="24"/>
          <w:lang w:val="en-IE"/>
        </w:rPr>
      </w:pPr>
      <w:r w:rsidRPr="00207B36">
        <w:rPr>
          <w:rFonts w:ascii="Times New Roman" w:hAnsi="Times New Roman" w:cs="Times New Roman"/>
          <w:iCs/>
          <w:sz w:val="24"/>
          <w:szCs w:val="24"/>
          <w:lang w:val="en-IE"/>
        </w:rPr>
        <w:t>What are the economic sustainability/feasibility indicators?</w:t>
      </w:r>
    </w:p>
    <w:p w:rsidR="00F50583" w:rsidRPr="00207B36" w:rsidRDefault="00F50583" w:rsidP="00207B36">
      <w:pPr>
        <w:numPr>
          <w:ilvl w:val="0"/>
          <w:numId w:val="2"/>
        </w:numPr>
        <w:spacing w:after="0" w:line="480" w:lineRule="auto"/>
        <w:ind w:left="714" w:hanging="357"/>
        <w:rPr>
          <w:rFonts w:ascii="Times New Roman" w:hAnsi="Times New Roman" w:cs="Times New Roman"/>
          <w:iCs/>
          <w:sz w:val="24"/>
          <w:szCs w:val="24"/>
          <w:lang w:val="en-IE"/>
        </w:rPr>
      </w:pPr>
      <w:r w:rsidRPr="00207B36">
        <w:rPr>
          <w:rFonts w:ascii="Times New Roman" w:hAnsi="Times New Roman" w:cs="Times New Roman"/>
          <w:iCs/>
          <w:sz w:val="24"/>
          <w:szCs w:val="24"/>
          <w:lang w:val="en-IE"/>
        </w:rPr>
        <w:t>What are the environment sustainability/feasibility indicators?</w:t>
      </w:r>
    </w:p>
    <w:p w:rsidR="00F50583" w:rsidRPr="00207B36" w:rsidRDefault="00F50583" w:rsidP="00207B36">
      <w:pPr>
        <w:numPr>
          <w:ilvl w:val="0"/>
          <w:numId w:val="2"/>
        </w:numPr>
        <w:spacing w:after="0" w:line="480" w:lineRule="auto"/>
        <w:ind w:left="714" w:hanging="357"/>
        <w:rPr>
          <w:rFonts w:ascii="Times New Roman" w:hAnsi="Times New Roman" w:cs="Times New Roman"/>
          <w:iCs/>
          <w:sz w:val="24"/>
          <w:szCs w:val="24"/>
          <w:lang w:val="en-IE"/>
        </w:rPr>
      </w:pPr>
      <w:r w:rsidRPr="00207B36">
        <w:rPr>
          <w:rFonts w:ascii="Times New Roman" w:hAnsi="Times New Roman" w:cs="Times New Roman"/>
          <w:iCs/>
          <w:sz w:val="24"/>
          <w:szCs w:val="24"/>
          <w:lang w:val="en-IE"/>
        </w:rPr>
        <w:t>What are the socio-cultural sustainability/feasibility indicators?</w:t>
      </w:r>
    </w:p>
    <w:p w:rsidR="00F50583" w:rsidRPr="00207B36" w:rsidRDefault="002B4A53" w:rsidP="00207B36">
      <w:pPr>
        <w:numPr>
          <w:ilvl w:val="0"/>
          <w:numId w:val="2"/>
        </w:numPr>
        <w:spacing w:after="0" w:line="480" w:lineRule="auto"/>
        <w:ind w:left="714" w:hanging="357"/>
        <w:rPr>
          <w:rFonts w:ascii="Times New Roman" w:hAnsi="Times New Roman" w:cs="Times New Roman"/>
          <w:iCs/>
          <w:sz w:val="24"/>
          <w:szCs w:val="24"/>
          <w:lang w:val="en-IE"/>
        </w:rPr>
      </w:pPr>
      <w:r w:rsidRPr="00207B36">
        <w:rPr>
          <w:rFonts w:ascii="Times New Roman" w:hAnsi="Times New Roman" w:cs="Times New Roman"/>
          <w:iCs/>
          <w:sz w:val="24"/>
          <w:szCs w:val="24"/>
          <w:lang w:val="en-IE"/>
        </w:rPr>
        <w:t>What are the different quantitative/qualitative sustainability/feasibility criteria?</w:t>
      </w:r>
    </w:p>
    <w:p w:rsidR="00EF3944" w:rsidRPr="00207B36" w:rsidRDefault="00EF3944" w:rsidP="00207B36">
      <w:pPr>
        <w:spacing w:after="0" w:line="480" w:lineRule="auto"/>
        <w:ind w:left="714"/>
        <w:rPr>
          <w:rFonts w:ascii="Times New Roman" w:hAnsi="Times New Roman" w:cs="Times New Roman"/>
          <w:iCs/>
          <w:sz w:val="24"/>
          <w:szCs w:val="24"/>
          <w:lang w:val="en-IE"/>
        </w:rPr>
      </w:pPr>
    </w:p>
    <w:p w:rsidR="00F50583" w:rsidRPr="00207B36" w:rsidRDefault="00C14202" w:rsidP="00207B36">
      <w:pPr>
        <w:spacing w:line="480" w:lineRule="auto"/>
        <w:rPr>
          <w:rFonts w:ascii="Times New Roman" w:hAnsi="Times New Roman" w:cs="Times New Roman"/>
          <w:iCs/>
          <w:sz w:val="24"/>
          <w:szCs w:val="24"/>
          <w:lang w:val="en-IE"/>
        </w:rPr>
      </w:pPr>
      <w:r w:rsidRPr="00207B36">
        <w:rPr>
          <w:rFonts w:ascii="Times New Roman" w:hAnsi="Times New Roman" w:cs="Times New Roman"/>
          <w:iCs/>
          <w:sz w:val="24"/>
          <w:szCs w:val="24"/>
          <w:lang w:val="en-IE"/>
        </w:rPr>
        <w:t>The criteria</w:t>
      </w:r>
      <w:r w:rsidR="00F50583" w:rsidRPr="00207B36">
        <w:rPr>
          <w:rFonts w:ascii="Times New Roman" w:hAnsi="Times New Roman" w:cs="Times New Roman"/>
          <w:iCs/>
          <w:sz w:val="24"/>
          <w:szCs w:val="24"/>
          <w:lang w:val="en-IE"/>
        </w:rPr>
        <w:t xml:space="preserve"> will be chosen based on their relevance to Ireland by qualifying the search to include Ireland after the initial overarching dat</w:t>
      </w:r>
      <w:r w:rsidR="00A178DB" w:rsidRPr="00207B36">
        <w:rPr>
          <w:rFonts w:ascii="Times New Roman" w:hAnsi="Times New Roman" w:cs="Times New Roman"/>
          <w:iCs/>
          <w:sz w:val="24"/>
          <w:szCs w:val="24"/>
          <w:lang w:val="en-IE"/>
        </w:rPr>
        <w:t>abase search has been conducted.</w:t>
      </w:r>
    </w:p>
    <w:p w:rsidR="00A178DB" w:rsidRPr="00207B36" w:rsidRDefault="00A178DB" w:rsidP="00207B36">
      <w:pPr>
        <w:spacing w:line="480" w:lineRule="auto"/>
        <w:rPr>
          <w:rFonts w:ascii="Times New Roman" w:hAnsi="Times New Roman" w:cs="Times New Roman"/>
          <w:iCs/>
          <w:sz w:val="24"/>
          <w:szCs w:val="24"/>
          <w:lang w:val="en-IE"/>
        </w:rPr>
      </w:pPr>
    </w:p>
    <w:p w:rsidR="00207B36" w:rsidRDefault="00207B36" w:rsidP="00207B36">
      <w:pPr>
        <w:widowControl w:val="0"/>
        <w:kinsoku w:val="0"/>
        <w:spacing w:after="0" w:line="480" w:lineRule="auto"/>
        <w:rPr>
          <w:rFonts w:ascii="Times New Roman" w:hAnsi="Times New Roman" w:cs="Times New Roman"/>
          <w:sz w:val="24"/>
          <w:szCs w:val="24"/>
        </w:rPr>
      </w:pPr>
    </w:p>
    <w:p w:rsidR="00207B36" w:rsidRDefault="00207B36" w:rsidP="00207B36">
      <w:pPr>
        <w:widowControl w:val="0"/>
        <w:kinsoku w:val="0"/>
        <w:spacing w:after="0" w:line="480" w:lineRule="auto"/>
        <w:rPr>
          <w:rFonts w:ascii="Times New Roman" w:hAnsi="Times New Roman" w:cs="Times New Roman"/>
          <w:sz w:val="24"/>
          <w:szCs w:val="24"/>
        </w:rPr>
      </w:pPr>
    </w:p>
    <w:p w:rsidR="0006238A" w:rsidRPr="00207B36" w:rsidRDefault="00A04905" w:rsidP="00207B36">
      <w:pPr>
        <w:widowControl w:val="0"/>
        <w:kinsoku w:val="0"/>
        <w:spacing w:after="0" w:line="480" w:lineRule="auto"/>
        <w:rPr>
          <w:rFonts w:ascii="Times New Roman" w:eastAsiaTheme="minorEastAsia" w:hAnsi="Times New Roman" w:cs="Times New Roman"/>
          <w:b/>
          <w:sz w:val="24"/>
          <w:szCs w:val="24"/>
          <w:lang w:val="en-US" w:eastAsia="en-IE"/>
        </w:rPr>
      </w:pPr>
      <w:r w:rsidRPr="00207B36">
        <w:rPr>
          <w:rFonts w:ascii="Times New Roman" w:eastAsiaTheme="minorEastAsia" w:hAnsi="Times New Roman" w:cs="Times New Roman"/>
          <w:b/>
          <w:sz w:val="24"/>
          <w:szCs w:val="24"/>
          <w:lang w:val="en-US" w:eastAsia="en-IE"/>
        </w:rPr>
        <w:lastRenderedPageBreak/>
        <w:t xml:space="preserve">Section 1: </w:t>
      </w:r>
      <w:r w:rsidR="0006238A" w:rsidRPr="00207B36">
        <w:rPr>
          <w:rFonts w:ascii="Times New Roman" w:eastAsiaTheme="minorEastAsia" w:hAnsi="Times New Roman" w:cs="Times New Roman"/>
          <w:b/>
          <w:sz w:val="24"/>
          <w:szCs w:val="24"/>
          <w:lang w:val="en-US" w:eastAsia="en-IE"/>
        </w:rPr>
        <w:t xml:space="preserve">Economic Sustainability </w:t>
      </w:r>
    </w:p>
    <w:p w:rsidR="0006238A" w:rsidRPr="00207B36" w:rsidRDefault="0006238A"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06238A" w:rsidRPr="00207B36" w:rsidRDefault="0006238A" w:rsidP="00207B36">
      <w:pPr>
        <w:widowControl w:val="0"/>
        <w:kinsoku w:val="0"/>
        <w:spacing w:after="0"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Rosegrant et al., (2013) defines economic sustainability as “Economic growth driven by the development of renewable biological resources and biotechnologies to produce sustainable products, employment and income.”</w:t>
      </w:r>
    </w:p>
    <w:p w:rsidR="0006238A" w:rsidRPr="00207B36" w:rsidRDefault="0006238A"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06238A" w:rsidRPr="00207B36" w:rsidRDefault="0006238A" w:rsidP="00207B36">
      <w:pPr>
        <w:widowControl w:val="0"/>
        <w:kinsoku w:val="0"/>
        <w:spacing w:after="0" w:line="480" w:lineRule="auto"/>
        <w:rPr>
          <w:rFonts w:ascii="Times New Roman" w:eastAsiaTheme="minorEastAsia" w:hAnsi="Times New Roman" w:cs="Times New Roman"/>
          <w:b/>
          <w:i/>
          <w:sz w:val="24"/>
          <w:szCs w:val="24"/>
          <w:lang w:val="en-US" w:eastAsia="en-IE"/>
        </w:rPr>
      </w:pPr>
      <w:r w:rsidRPr="00207B36">
        <w:rPr>
          <w:rFonts w:ascii="Times New Roman" w:eastAsiaTheme="minorEastAsia" w:hAnsi="Times New Roman" w:cs="Times New Roman"/>
          <w:b/>
          <w:i/>
          <w:sz w:val="24"/>
          <w:szCs w:val="24"/>
          <w:lang w:val="en-US" w:eastAsia="en-IE"/>
        </w:rPr>
        <w:t xml:space="preserve">Economic Sustainability Criteria </w:t>
      </w:r>
      <w:r w:rsidR="00AE2F58" w:rsidRPr="00207B36">
        <w:rPr>
          <w:rFonts w:ascii="Times New Roman" w:eastAsiaTheme="minorEastAsia" w:hAnsi="Times New Roman" w:cs="Times New Roman"/>
          <w:b/>
          <w:i/>
          <w:sz w:val="24"/>
          <w:szCs w:val="24"/>
          <w:lang w:val="en-US" w:eastAsia="en-IE"/>
        </w:rPr>
        <w:t>development rationale</w:t>
      </w:r>
    </w:p>
    <w:p w:rsidR="0006238A" w:rsidRPr="00207B36" w:rsidRDefault="0006238A" w:rsidP="00207B36">
      <w:pPr>
        <w:widowControl w:val="0"/>
        <w:kinsoku w:val="0"/>
        <w:spacing w:after="0" w:line="480" w:lineRule="auto"/>
        <w:rPr>
          <w:rFonts w:ascii="Times New Roman" w:eastAsiaTheme="minorEastAsia" w:hAnsi="Times New Roman" w:cs="Times New Roman"/>
          <w:sz w:val="24"/>
          <w:szCs w:val="24"/>
          <w:lang w:val="en-US" w:eastAsia="en-IE"/>
        </w:rPr>
      </w:pPr>
    </w:p>
    <w:p w:rsidR="0006238A" w:rsidRPr="00207B36" w:rsidRDefault="00FD58C6" w:rsidP="00207B36">
      <w:pPr>
        <w:widowControl w:val="0"/>
        <w:kinsoku w:val="0"/>
        <w:spacing w:after="0"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The f</w:t>
      </w:r>
      <w:r w:rsidR="0006238A" w:rsidRPr="00207B36">
        <w:rPr>
          <w:rFonts w:ascii="Times New Roman" w:eastAsiaTheme="minorEastAsia" w:hAnsi="Times New Roman" w:cs="Times New Roman"/>
          <w:sz w:val="24"/>
          <w:szCs w:val="24"/>
          <w:lang w:val="en-US" w:eastAsia="en-IE"/>
        </w:rPr>
        <w:t>ollowing is the list of processes from acquisition to end of life that a product undergoes in the cradle to grave PEF-LCA. All these steps need to be accounted for in a holistic economic LCA assessment to estimate the approximate cost of any value chain.</w:t>
      </w:r>
      <w:r w:rsidR="0097042A" w:rsidRPr="00207B36">
        <w:rPr>
          <w:rFonts w:ascii="Times New Roman" w:eastAsiaTheme="minorEastAsia" w:hAnsi="Times New Roman" w:cs="Times New Roman"/>
          <w:sz w:val="24"/>
          <w:szCs w:val="24"/>
          <w:lang w:val="en-US" w:eastAsia="en-IE"/>
        </w:rPr>
        <w:t xml:space="preserve"> </w:t>
      </w:r>
      <w:r w:rsidR="00321FE1" w:rsidRPr="00207B36">
        <w:rPr>
          <w:rFonts w:ascii="Times New Roman" w:eastAsiaTheme="minorEastAsia" w:hAnsi="Times New Roman" w:cs="Times New Roman"/>
          <w:sz w:val="24"/>
          <w:szCs w:val="24"/>
          <w:lang w:val="en-US" w:eastAsia="en-IE"/>
        </w:rPr>
        <w:t xml:space="preserve">Considering, it is a factual list of steps that any product undergoes from the stage of acquisition to end of life discarding, not a significant critical analysis is required. </w:t>
      </w:r>
      <w:r w:rsidR="0097042A" w:rsidRPr="00207B36">
        <w:rPr>
          <w:rFonts w:ascii="Times New Roman" w:eastAsiaTheme="minorEastAsia" w:hAnsi="Times New Roman" w:cs="Times New Roman"/>
          <w:sz w:val="24"/>
          <w:szCs w:val="24"/>
          <w:lang w:val="en-US" w:eastAsia="en-IE"/>
        </w:rPr>
        <w:t xml:space="preserve">However, it is </w:t>
      </w:r>
      <w:r w:rsidR="00321FE1" w:rsidRPr="00207B36">
        <w:rPr>
          <w:rFonts w:ascii="Times New Roman" w:eastAsiaTheme="minorEastAsia" w:hAnsi="Times New Roman" w:cs="Times New Roman"/>
          <w:sz w:val="24"/>
          <w:szCs w:val="24"/>
          <w:lang w:val="en-US" w:eastAsia="en-IE"/>
        </w:rPr>
        <w:t xml:space="preserve">a </w:t>
      </w:r>
      <w:r w:rsidR="00DE6172" w:rsidRPr="00207B36">
        <w:rPr>
          <w:rFonts w:ascii="Times New Roman" w:eastAsiaTheme="minorEastAsia" w:hAnsi="Times New Roman" w:cs="Times New Roman"/>
          <w:sz w:val="24"/>
          <w:szCs w:val="24"/>
          <w:lang w:val="en-US" w:eastAsia="en-IE"/>
        </w:rPr>
        <w:t>common practice to limit</w:t>
      </w:r>
      <w:r w:rsidR="0097042A" w:rsidRPr="00207B36">
        <w:rPr>
          <w:rFonts w:ascii="Times New Roman" w:eastAsiaTheme="minorEastAsia" w:hAnsi="Times New Roman" w:cs="Times New Roman"/>
          <w:sz w:val="24"/>
          <w:szCs w:val="24"/>
          <w:lang w:val="en-US" w:eastAsia="en-IE"/>
        </w:rPr>
        <w:t xml:space="preserve"> the </w:t>
      </w:r>
      <w:r w:rsidR="00DE6172" w:rsidRPr="00207B36">
        <w:rPr>
          <w:rFonts w:ascii="Times New Roman" w:eastAsiaTheme="minorEastAsia" w:hAnsi="Times New Roman" w:cs="Times New Roman"/>
          <w:sz w:val="24"/>
          <w:szCs w:val="24"/>
          <w:lang w:val="en-US" w:eastAsia="en-IE"/>
        </w:rPr>
        <w:t xml:space="preserve">steps in the </w:t>
      </w:r>
      <w:r w:rsidR="0097042A" w:rsidRPr="00207B36">
        <w:rPr>
          <w:rFonts w:ascii="Times New Roman" w:eastAsiaTheme="minorEastAsia" w:hAnsi="Times New Roman" w:cs="Times New Roman"/>
          <w:sz w:val="24"/>
          <w:szCs w:val="24"/>
          <w:lang w:val="en-US" w:eastAsia="en-IE"/>
        </w:rPr>
        <w:t xml:space="preserve">table to </w:t>
      </w:r>
      <w:r w:rsidR="00DE6172" w:rsidRPr="00207B36">
        <w:rPr>
          <w:rFonts w:ascii="Times New Roman" w:eastAsiaTheme="minorEastAsia" w:hAnsi="Times New Roman" w:cs="Times New Roman"/>
          <w:sz w:val="24"/>
          <w:szCs w:val="24"/>
          <w:lang w:val="en-US" w:eastAsia="en-IE"/>
        </w:rPr>
        <w:t xml:space="preserve">conduct a shorter economic analysis and save unnecessary effort (European Commission, </w:t>
      </w:r>
      <w:r w:rsidR="008106D9" w:rsidRPr="00207B36">
        <w:rPr>
          <w:rFonts w:ascii="Times New Roman" w:eastAsiaTheme="minorEastAsia" w:hAnsi="Times New Roman" w:cs="Times New Roman"/>
          <w:sz w:val="24"/>
          <w:szCs w:val="24"/>
          <w:lang w:val="en-US" w:eastAsia="en-IE"/>
        </w:rPr>
        <w:t>2010)</w:t>
      </w:r>
      <w:r w:rsidR="0097042A" w:rsidRPr="00207B36">
        <w:rPr>
          <w:rFonts w:ascii="Times New Roman" w:eastAsiaTheme="minorEastAsia" w:hAnsi="Times New Roman" w:cs="Times New Roman"/>
          <w:sz w:val="24"/>
          <w:szCs w:val="24"/>
          <w:lang w:val="en-US" w:eastAsia="en-IE"/>
        </w:rPr>
        <w:t>:</w:t>
      </w:r>
    </w:p>
    <w:p w:rsidR="0097042A" w:rsidRPr="00207B36" w:rsidRDefault="0097042A" w:rsidP="00207B36">
      <w:pPr>
        <w:widowControl w:val="0"/>
        <w:kinsoku w:val="0"/>
        <w:spacing w:after="0" w:line="480" w:lineRule="auto"/>
        <w:rPr>
          <w:rFonts w:ascii="Times New Roman" w:eastAsiaTheme="minorEastAsia" w:hAnsi="Times New Roman" w:cs="Times New Roman"/>
          <w:sz w:val="24"/>
          <w:szCs w:val="24"/>
          <w:lang w:val="en-US" w:eastAsia="en-IE"/>
        </w:rPr>
      </w:pPr>
    </w:p>
    <w:p w:rsidR="0097042A" w:rsidRPr="00207B36" w:rsidRDefault="0097042A" w:rsidP="00207B36">
      <w:pPr>
        <w:pStyle w:val="ListParagraph"/>
        <w:widowControl w:val="0"/>
        <w:numPr>
          <w:ilvl w:val="0"/>
          <w:numId w:val="5"/>
        </w:numPr>
        <w:kinsoku w:val="0"/>
        <w:spacing w:after="0" w:line="480" w:lineRule="auto"/>
        <w:rPr>
          <w:rFonts w:ascii="Times New Roman" w:eastAsiaTheme="minorEastAsia" w:hAnsi="Times New Roman" w:cs="Times New Roman"/>
          <w:sz w:val="24"/>
          <w:szCs w:val="24"/>
          <w:lang w:eastAsia="en-IE"/>
        </w:rPr>
      </w:pPr>
      <w:r w:rsidRPr="00207B36">
        <w:rPr>
          <w:rFonts w:ascii="Times New Roman" w:eastAsiaTheme="minorEastAsia" w:hAnsi="Times New Roman" w:cs="Times New Roman"/>
          <w:sz w:val="24"/>
          <w:szCs w:val="24"/>
          <w:lang w:eastAsia="en-IE"/>
        </w:rPr>
        <w:t>Gate-to-gate (production-to-consumer) activities/processes;</w:t>
      </w:r>
    </w:p>
    <w:p w:rsidR="0097042A" w:rsidRPr="00207B36" w:rsidRDefault="0097042A" w:rsidP="00207B36">
      <w:pPr>
        <w:pStyle w:val="ListParagraph"/>
        <w:widowControl w:val="0"/>
        <w:numPr>
          <w:ilvl w:val="0"/>
          <w:numId w:val="5"/>
        </w:numPr>
        <w:kinsoku w:val="0"/>
        <w:spacing w:after="0" w:line="480" w:lineRule="auto"/>
        <w:rPr>
          <w:rFonts w:ascii="Times New Roman" w:eastAsiaTheme="minorEastAsia" w:hAnsi="Times New Roman" w:cs="Times New Roman"/>
          <w:sz w:val="24"/>
          <w:szCs w:val="24"/>
          <w:lang w:eastAsia="en-IE"/>
        </w:rPr>
      </w:pPr>
      <w:r w:rsidRPr="00207B36">
        <w:rPr>
          <w:rFonts w:ascii="Times New Roman" w:eastAsiaTheme="minorEastAsia" w:hAnsi="Times New Roman" w:cs="Times New Roman"/>
          <w:sz w:val="24"/>
          <w:szCs w:val="24"/>
          <w:lang w:eastAsia="en-IE"/>
        </w:rPr>
        <w:t xml:space="preserve">Upstream or downstream phases; </w:t>
      </w:r>
    </w:p>
    <w:p w:rsidR="0097042A" w:rsidRPr="00207B36" w:rsidRDefault="0097042A" w:rsidP="00207B36">
      <w:pPr>
        <w:pStyle w:val="ListParagraph"/>
        <w:widowControl w:val="0"/>
        <w:numPr>
          <w:ilvl w:val="0"/>
          <w:numId w:val="5"/>
        </w:numPr>
        <w:kinsoku w:val="0"/>
        <w:spacing w:after="0" w:line="480" w:lineRule="auto"/>
        <w:rPr>
          <w:rFonts w:ascii="Times New Roman" w:eastAsiaTheme="minorEastAsia" w:hAnsi="Times New Roman" w:cs="Times New Roman"/>
          <w:sz w:val="24"/>
          <w:szCs w:val="24"/>
          <w:lang w:eastAsia="en-IE"/>
        </w:rPr>
      </w:pPr>
      <w:r w:rsidRPr="00207B36">
        <w:rPr>
          <w:rFonts w:ascii="Times New Roman" w:eastAsiaTheme="minorEastAsia" w:hAnsi="Times New Roman" w:cs="Times New Roman"/>
          <w:sz w:val="24"/>
          <w:szCs w:val="24"/>
          <w:lang w:eastAsia="en-IE"/>
        </w:rPr>
        <w:t xml:space="preserve">Key supply-chain activities for the product category; </w:t>
      </w:r>
    </w:p>
    <w:p w:rsidR="0006238A" w:rsidRPr="00207B36" w:rsidRDefault="0097042A" w:rsidP="00207B36">
      <w:pPr>
        <w:pStyle w:val="ListParagraph"/>
        <w:widowControl w:val="0"/>
        <w:numPr>
          <w:ilvl w:val="0"/>
          <w:numId w:val="5"/>
        </w:numPr>
        <w:kinsoku w:val="0"/>
        <w:spacing w:after="0"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eastAsia="en-IE"/>
        </w:rPr>
        <w:t>Key environment factor impact categories for the product category.</w:t>
      </w:r>
    </w:p>
    <w:p w:rsidR="0006238A" w:rsidRPr="00207B36" w:rsidRDefault="0006238A" w:rsidP="00207B36">
      <w:pPr>
        <w:widowControl w:val="0"/>
        <w:kinsoku w:val="0"/>
        <w:spacing w:after="0" w:line="480" w:lineRule="auto"/>
        <w:rPr>
          <w:rFonts w:ascii="Times New Roman" w:eastAsiaTheme="minorEastAsia" w:hAnsi="Times New Roman" w:cs="Times New Roman"/>
          <w:sz w:val="24"/>
          <w:szCs w:val="24"/>
          <w:lang w:val="en-US" w:eastAsia="en-IE"/>
        </w:rPr>
      </w:pPr>
    </w:p>
    <w:p w:rsidR="0006238A" w:rsidRPr="00207B36" w:rsidRDefault="0006238A" w:rsidP="00207B36">
      <w:pPr>
        <w:widowControl w:val="0"/>
        <w:kinsoku w:val="0"/>
        <w:spacing w:after="0" w:line="480" w:lineRule="auto"/>
        <w:rPr>
          <w:rFonts w:ascii="Times New Roman" w:eastAsiaTheme="minorEastAsia" w:hAnsi="Times New Roman" w:cs="Times New Roman"/>
          <w:sz w:val="24"/>
          <w:szCs w:val="24"/>
          <w:lang w:val="en-US" w:eastAsia="en-IE"/>
        </w:rPr>
      </w:pPr>
    </w:p>
    <w:p w:rsidR="0006238A" w:rsidRPr="00207B36" w:rsidRDefault="0006238A" w:rsidP="00207B36">
      <w:pPr>
        <w:widowControl w:val="0"/>
        <w:kinsoku w:val="0"/>
        <w:spacing w:after="0" w:line="480" w:lineRule="auto"/>
        <w:rPr>
          <w:rFonts w:ascii="Times New Roman" w:eastAsiaTheme="minorEastAsia" w:hAnsi="Times New Roman" w:cs="Times New Roman"/>
          <w:sz w:val="24"/>
          <w:szCs w:val="24"/>
          <w:lang w:val="en-US" w:eastAsia="en-IE"/>
        </w:rPr>
      </w:pPr>
    </w:p>
    <w:p w:rsidR="0006238A" w:rsidRPr="00207B36" w:rsidRDefault="0006238A" w:rsidP="00207B36">
      <w:pPr>
        <w:widowControl w:val="0"/>
        <w:kinsoku w:val="0"/>
        <w:spacing w:after="0" w:line="480" w:lineRule="auto"/>
        <w:rPr>
          <w:rFonts w:ascii="Times New Roman" w:eastAsiaTheme="minorEastAsia" w:hAnsi="Times New Roman" w:cs="Times New Roman"/>
          <w:sz w:val="24"/>
          <w:szCs w:val="24"/>
          <w:lang w:val="en-US" w:eastAsia="en-IE"/>
        </w:rPr>
      </w:pPr>
    </w:p>
    <w:p w:rsidR="00207B36" w:rsidRDefault="00207B36" w:rsidP="0006238A">
      <w:pPr>
        <w:widowControl w:val="0"/>
        <w:kinsoku w:val="0"/>
        <w:spacing w:after="0" w:line="240" w:lineRule="auto"/>
        <w:rPr>
          <w:rFonts w:ascii="Times New Roman" w:eastAsiaTheme="minorEastAsia" w:hAnsi="Times New Roman" w:cs="Times New Roman"/>
          <w:sz w:val="24"/>
          <w:szCs w:val="24"/>
          <w:lang w:val="en-US" w:eastAsia="en-IE"/>
        </w:rPr>
      </w:pPr>
    </w:p>
    <w:p w:rsidR="00207B36" w:rsidRDefault="00207B36" w:rsidP="0006238A">
      <w:pPr>
        <w:widowControl w:val="0"/>
        <w:kinsoku w:val="0"/>
        <w:spacing w:after="0" w:line="240" w:lineRule="auto"/>
        <w:rPr>
          <w:rFonts w:ascii="Times New Roman" w:eastAsiaTheme="minorEastAsia" w:hAnsi="Times New Roman" w:cs="Times New Roman"/>
          <w:sz w:val="24"/>
          <w:szCs w:val="24"/>
          <w:lang w:val="en-US" w:eastAsia="en-IE"/>
        </w:rPr>
      </w:pPr>
    </w:p>
    <w:p w:rsidR="00AE2F58" w:rsidRDefault="00AE2F58" w:rsidP="0006238A">
      <w:pPr>
        <w:widowControl w:val="0"/>
        <w:kinsoku w:val="0"/>
        <w:spacing w:after="0" w:line="240" w:lineRule="auto"/>
        <w:rPr>
          <w:rFonts w:eastAsiaTheme="minorEastAsia" w:cs="Times New Roman"/>
          <w:b/>
          <w:i/>
          <w:sz w:val="24"/>
          <w:szCs w:val="24"/>
          <w:lang w:val="en-US" w:eastAsia="en-IE"/>
        </w:rPr>
      </w:pPr>
      <w:r w:rsidRPr="00AE2F58">
        <w:rPr>
          <w:rFonts w:eastAsiaTheme="minorEastAsia" w:cs="Times New Roman"/>
          <w:b/>
          <w:i/>
          <w:sz w:val="24"/>
          <w:szCs w:val="24"/>
          <w:lang w:val="en-US" w:eastAsia="en-IE"/>
        </w:rPr>
        <w:lastRenderedPageBreak/>
        <w:t>Table 1: Economic Sustainability Criteria</w:t>
      </w:r>
    </w:p>
    <w:tbl>
      <w:tblPr>
        <w:tblW w:w="9979" w:type="dxa"/>
        <w:tblInd w:w="20" w:type="dxa"/>
        <w:tblLayout w:type="fixed"/>
        <w:tblCellMar>
          <w:left w:w="0" w:type="dxa"/>
          <w:right w:w="0" w:type="dxa"/>
        </w:tblCellMar>
        <w:tblLook w:val="0000" w:firstRow="0" w:lastRow="0" w:firstColumn="0" w:lastColumn="0" w:noHBand="0" w:noVBand="0"/>
      </w:tblPr>
      <w:tblGrid>
        <w:gridCol w:w="2093"/>
        <w:gridCol w:w="7886"/>
      </w:tblGrid>
      <w:tr w:rsidR="00A82E77" w:rsidRPr="00A82E77" w:rsidTr="00A82E77">
        <w:trPr>
          <w:trHeight w:hRule="exact" w:val="792"/>
        </w:trPr>
        <w:tc>
          <w:tcPr>
            <w:tcW w:w="2093" w:type="dxa"/>
            <w:tcBorders>
              <w:top w:val="single" w:sz="5" w:space="0" w:color="auto"/>
              <w:left w:val="single" w:sz="5" w:space="0" w:color="auto"/>
              <w:bottom w:val="single" w:sz="5" w:space="0" w:color="auto"/>
              <w:right w:val="single" w:sz="5" w:space="0" w:color="auto"/>
            </w:tcBorders>
          </w:tcPr>
          <w:p w:rsidR="00A82E77" w:rsidRDefault="00A82E77" w:rsidP="00A82E77">
            <w:pPr>
              <w:widowControl w:val="0"/>
              <w:kinsoku w:val="0"/>
              <w:spacing w:after="0" w:line="240" w:lineRule="auto"/>
              <w:rPr>
                <w:rFonts w:ascii="Times New Roman" w:eastAsiaTheme="minorEastAsia" w:hAnsi="Times New Roman" w:cs="Times New Roman"/>
                <w:b/>
                <w:bCs/>
                <w:sz w:val="24"/>
                <w:szCs w:val="24"/>
                <w:lang w:val="en-US" w:eastAsia="en-IE"/>
              </w:rPr>
            </w:pPr>
          </w:p>
          <w:p w:rsidR="00A82E77" w:rsidRPr="00A82E77" w:rsidRDefault="00A82E77" w:rsidP="00A82E77">
            <w:pPr>
              <w:widowControl w:val="0"/>
              <w:kinsoku w:val="0"/>
              <w:spacing w:after="0" w:line="240" w:lineRule="auto"/>
              <w:rPr>
                <w:rFonts w:ascii="Times New Roman" w:eastAsiaTheme="minorEastAsia" w:hAnsi="Times New Roman" w:cs="Times New Roman"/>
                <w:b/>
                <w:bCs/>
                <w:sz w:val="24"/>
                <w:szCs w:val="24"/>
                <w:lang w:val="en-US" w:eastAsia="en-IE"/>
              </w:rPr>
            </w:pPr>
            <w:r w:rsidRPr="00A82E77">
              <w:rPr>
                <w:rFonts w:ascii="Times New Roman" w:eastAsiaTheme="minorEastAsia" w:hAnsi="Times New Roman" w:cs="Times New Roman"/>
                <w:b/>
                <w:bCs/>
                <w:sz w:val="24"/>
                <w:szCs w:val="24"/>
                <w:lang w:val="en-US" w:eastAsia="en-IE"/>
              </w:rPr>
              <w:t xml:space="preserve">Aspect </w:t>
            </w:r>
          </w:p>
        </w:tc>
        <w:tc>
          <w:tcPr>
            <w:tcW w:w="7886" w:type="dxa"/>
            <w:tcBorders>
              <w:top w:val="single" w:sz="5" w:space="0" w:color="auto"/>
              <w:left w:val="single" w:sz="5" w:space="0" w:color="auto"/>
              <w:bottom w:val="single" w:sz="5" w:space="0" w:color="auto"/>
              <w:right w:val="single" w:sz="5" w:space="0" w:color="auto"/>
            </w:tcBorders>
            <w:vAlign w:val="center"/>
          </w:tcPr>
          <w:p w:rsidR="00A82E77" w:rsidRPr="00A82E77" w:rsidRDefault="00A82E77" w:rsidP="00A82E77">
            <w:pPr>
              <w:widowControl w:val="0"/>
              <w:kinsoku w:val="0"/>
              <w:spacing w:after="0" w:line="240" w:lineRule="auto"/>
              <w:rPr>
                <w:rFonts w:ascii="Times New Roman" w:eastAsiaTheme="minorEastAsia" w:hAnsi="Times New Roman" w:cs="Times New Roman"/>
                <w:b/>
                <w:bCs/>
                <w:sz w:val="24"/>
                <w:szCs w:val="24"/>
                <w:lang w:val="en-US" w:eastAsia="en-IE"/>
              </w:rPr>
            </w:pPr>
            <w:r w:rsidRPr="00A82E77">
              <w:rPr>
                <w:rFonts w:ascii="Times New Roman" w:eastAsiaTheme="minorEastAsia" w:hAnsi="Times New Roman" w:cs="Times New Roman"/>
                <w:b/>
                <w:bCs/>
                <w:sz w:val="24"/>
                <w:szCs w:val="24"/>
                <w:lang w:val="en-US" w:eastAsia="en-IE"/>
              </w:rPr>
              <w:t>Definition / Specifications / Examples</w:t>
            </w:r>
          </w:p>
        </w:tc>
      </w:tr>
      <w:tr w:rsidR="00A82E77" w:rsidRPr="00A82E77" w:rsidTr="00A82E77">
        <w:trPr>
          <w:trHeight w:hRule="exact" w:val="3080"/>
        </w:trPr>
        <w:tc>
          <w:tcPr>
            <w:tcW w:w="2093" w:type="dxa"/>
            <w:tcBorders>
              <w:top w:val="single" w:sz="5" w:space="0" w:color="auto"/>
              <w:left w:val="single" w:sz="5" w:space="0" w:color="auto"/>
              <w:bottom w:val="single" w:sz="5" w:space="0" w:color="auto"/>
              <w:right w:val="single" w:sz="5" w:space="0" w:color="auto"/>
            </w:tcBorders>
            <w:vAlign w:val="center"/>
          </w:tcPr>
          <w:p w:rsidR="00A82E77" w:rsidRPr="00A82E77" w:rsidRDefault="00A82E77" w:rsidP="00A82E77">
            <w:pPr>
              <w:widowControl w:val="0"/>
              <w:kinsoku w:val="0"/>
              <w:spacing w:after="0" w:line="240" w:lineRule="auto"/>
              <w:rPr>
                <w:rFonts w:ascii="Times New Roman" w:eastAsiaTheme="minorEastAsia" w:hAnsi="Times New Roman" w:cs="Times New Roman"/>
                <w:b/>
                <w:bCs/>
                <w:sz w:val="24"/>
                <w:szCs w:val="24"/>
                <w:lang w:val="en-US" w:eastAsia="en-IE"/>
              </w:rPr>
            </w:pPr>
            <w:r w:rsidRPr="00A82E77">
              <w:rPr>
                <w:rFonts w:ascii="Times New Roman" w:eastAsiaTheme="minorEastAsia" w:hAnsi="Times New Roman" w:cs="Times New Roman"/>
                <w:sz w:val="24"/>
                <w:szCs w:val="24"/>
                <w:lang w:val="en-US" w:eastAsia="en-IE"/>
              </w:rPr>
              <w:t>Biomass acquisition and pre- processing</w:t>
            </w:r>
          </w:p>
        </w:tc>
        <w:tc>
          <w:tcPr>
            <w:tcW w:w="7886" w:type="dxa"/>
            <w:tcBorders>
              <w:top w:val="single" w:sz="5" w:space="0" w:color="auto"/>
              <w:left w:val="single" w:sz="5" w:space="0" w:color="auto"/>
              <w:bottom w:val="single" w:sz="5" w:space="0" w:color="auto"/>
              <w:right w:val="single" w:sz="5" w:space="0" w:color="auto"/>
            </w:tcBorders>
          </w:tcPr>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The biomass acquisition and pre-processing stage starts when resources are extracted from nature and ends when the product components enter (through the gate of) the product’s production facility. Processes that may occur in this stage include e.g.:</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Mining and extraction of resources;</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Pre-processing of all material inputs to the studied product system;</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Conversion of recycled material;</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Photosynthesis for the biogenic fraction of the bio-based product;</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Cultivation and harvesting of trees or crops;</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Transportation within and between extraction and pre-processing facilities, and to the production facility.</w:t>
            </w:r>
          </w:p>
        </w:tc>
      </w:tr>
      <w:tr w:rsidR="00A82E77" w:rsidRPr="00A82E77" w:rsidTr="00A82E77">
        <w:trPr>
          <w:trHeight w:hRule="exact" w:val="2741"/>
        </w:trPr>
        <w:tc>
          <w:tcPr>
            <w:tcW w:w="2093" w:type="dxa"/>
            <w:tcBorders>
              <w:top w:val="single" w:sz="5" w:space="0" w:color="auto"/>
              <w:left w:val="single" w:sz="5" w:space="0" w:color="auto"/>
              <w:bottom w:val="single" w:sz="5" w:space="0" w:color="auto"/>
              <w:right w:val="single" w:sz="5" w:space="0" w:color="auto"/>
            </w:tcBorders>
          </w:tcPr>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Capital goods</w:t>
            </w:r>
          </w:p>
        </w:tc>
        <w:tc>
          <w:tcPr>
            <w:tcW w:w="7886" w:type="dxa"/>
            <w:tcBorders>
              <w:top w:val="single" w:sz="5" w:space="0" w:color="auto"/>
              <w:left w:val="single" w:sz="5" w:space="0" w:color="auto"/>
              <w:bottom w:val="single" w:sz="5" w:space="0" w:color="auto"/>
              <w:right w:val="single" w:sz="5" w:space="0" w:color="auto"/>
            </w:tcBorders>
          </w:tcPr>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Examples of capital goods that should be included (if applicable) are:</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Machinery used in extraction/production processes;</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Buildings;</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Office equipment;</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Transport vehicles;</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Transportation infrastructure.</w:t>
            </w:r>
          </w:p>
          <w:p w:rsidR="00A82E77" w:rsidRPr="00A82E77" w:rsidRDefault="00A82E77" w:rsidP="00A82E77">
            <w:pPr>
              <w:widowControl w:val="0"/>
              <w:kinsoku w:val="0"/>
              <w:spacing w:after="0" w:line="240" w:lineRule="auto"/>
              <w:rPr>
                <w:rFonts w:ascii="Times New Roman" w:eastAsiaTheme="minorEastAsia" w:hAnsi="Times New Roman" w:cs="Times New Roman"/>
                <w:i/>
                <w:iCs/>
                <w:sz w:val="24"/>
                <w:szCs w:val="24"/>
                <w:lang w:val="en-US" w:eastAsia="en-IE"/>
              </w:rPr>
            </w:pPr>
            <w:r w:rsidRPr="00A82E77">
              <w:rPr>
                <w:rFonts w:ascii="Times New Roman" w:eastAsiaTheme="minorEastAsia" w:hAnsi="Times New Roman" w:cs="Times New Roman"/>
                <w:i/>
                <w:sz w:val="24"/>
                <w:szCs w:val="24"/>
                <w:lang w:val="en-US" w:eastAsia="en-IE"/>
              </w:rPr>
              <w:t>Linear depreciation should be used for capital goods. The expected service life of the capital goods should be taken into account (and not the time to evolve to an economic book value of “0”).</w:t>
            </w:r>
          </w:p>
        </w:tc>
      </w:tr>
      <w:tr w:rsidR="00A82E77" w:rsidRPr="00A82E77" w:rsidTr="00A82E77">
        <w:trPr>
          <w:trHeight w:hRule="exact" w:val="1755"/>
        </w:trPr>
        <w:tc>
          <w:tcPr>
            <w:tcW w:w="2093" w:type="dxa"/>
            <w:tcBorders>
              <w:top w:val="single" w:sz="5" w:space="0" w:color="auto"/>
              <w:left w:val="single" w:sz="5" w:space="0" w:color="auto"/>
              <w:bottom w:val="single" w:sz="5" w:space="0" w:color="auto"/>
              <w:right w:val="single" w:sz="5" w:space="0" w:color="auto"/>
            </w:tcBorders>
          </w:tcPr>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Production, distribution and storage</w:t>
            </w:r>
          </w:p>
        </w:tc>
        <w:tc>
          <w:tcPr>
            <w:tcW w:w="7886" w:type="dxa"/>
            <w:tcBorders>
              <w:top w:val="single" w:sz="5" w:space="0" w:color="auto"/>
              <w:left w:val="single" w:sz="5" w:space="0" w:color="auto"/>
              <w:bottom w:val="single" w:sz="5" w:space="0" w:color="auto"/>
              <w:right w:val="single" w:sz="5" w:space="0" w:color="auto"/>
            </w:tcBorders>
          </w:tcPr>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Products are distributed to users and may be stored at various points along the supply chain. Examples of processes related to distribution and storage that should be included (if applicable) are:</w:t>
            </w:r>
          </w:p>
          <w:p w:rsidR="00A82E77" w:rsidRPr="00A82E77" w:rsidRDefault="00A82E77" w:rsidP="00A82E77">
            <w:pPr>
              <w:widowControl w:val="0"/>
              <w:numPr>
                <w:ilvl w:val="0"/>
                <w:numId w:val="7"/>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Energy inputs for warehouse lighting and heating;</w:t>
            </w:r>
          </w:p>
          <w:p w:rsidR="00A82E77" w:rsidRPr="00A82E77" w:rsidRDefault="00A82E77" w:rsidP="00A82E77">
            <w:pPr>
              <w:widowControl w:val="0"/>
              <w:numPr>
                <w:ilvl w:val="0"/>
                <w:numId w:val="7"/>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Use of refrigerants in warehouses and transport vehicles;</w:t>
            </w:r>
          </w:p>
          <w:p w:rsidR="00A82E77" w:rsidRPr="00A82E77" w:rsidRDefault="00A82E77" w:rsidP="00A82E77">
            <w:pPr>
              <w:widowControl w:val="0"/>
              <w:numPr>
                <w:ilvl w:val="0"/>
                <w:numId w:val="7"/>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Fuel use by vehicles.</w:t>
            </w:r>
          </w:p>
        </w:tc>
      </w:tr>
      <w:tr w:rsidR="00A82E77" w:rsidRPr="00A82E77" w:rsidTr="00A82E77">
        <w:trPr>
          <w:trHeight w:hRule="exact" w:val="3378"/>
        </w:trPr>
        <w:tc>
          <w:tcPr>
            <w:tcW w:w="2093" w:type="dxa"/>
            <w:tcBorders>
              <w:top w:val="single" w:sz="5" w:space="0" w:color="auto"/>
              <w:left w:val="single" w:sz="5" w:space="0" w:color="auto"/>
              <w:bottom w:val="single" w:sz="5" w:space="0" w:color="auto"/>
              <w:right w:val="single" w:sz="5" w:space="0" w:color="auto"/>
            </w:tcBorders>
            <w:vAlign w:val="center"/>
          </w:tcPr>
          <w:p w:rsidR="00A82E77" w:rsidRPr="00A82E77" w:rsidRDefault="00A82E77" w:rsidP="00A82E77">
            <w:pPr>
              <w:widowControl w:val="0"/>
              <w:kinsoku w:val="0"/>
              <w:spacing w:after="0" w:line="240" w:lineRule="auto"/>
              <w:rPr>
                <w:rFonts w:ascii="Times New Roman" w:eastAsiaTheme="minorEastAsia" w:hAnsi="Times New Roman" w:cs="Times New Roman"/>
                <w:b/>
                <w:bCs/>
                <w:sz w:val="24"/>
                <w:szCs w:val="24"/>
                <w:lang w:val="en-US" w:eastAsia="en-IE"/>
              </w:rPr>
            </w:pPr>
            <w:r w:rsidRPr="00A82E77">
              <w:rPr>
                <w:rFonts w:ascii="Times New Roman" w:eastAsiaTheme="minorEastAsia" w:hAnsi="Times New Roman" w:cs="Times New Roman"/>
                <w:sz w:val="24"/>
                <w:szCs w:val="24"/>
                <w:lang w:val="en-US" w:eastAsia="en-IE"/>
              </w:rPr>
              <w:t>Use stage</w:t>
            </w:r>
          </w:p>
        </w:tc>
        <w:tc>
          <w:tcPr>
            <w:tcW w:w="7886" w:type="dxa"/>
            <w:tcBorders>
              <w:top w:val="single" w:sz="5" w:space="0" w:color="auto"/>
              <w:left w:val="single" w:sz="5" w:space="0" w:color="auto"/>
              <w:bottom w:val="single" w:sz="5" w:space="0" w:color="auto"/>
              <w:right w:val="single" w:sz="5" w:space="0" w:color="auto"/>
            </w:tcBorders>
          </w:tcPr>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The use stage begins when the consumer or end user takes possession of the product and ends when the used product is discarded for transport to a recycling or waste treatment facility. Examples of use-stage processes that should be included (if applicable) are:</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Use/consumption</w:t>
            </w:r>
            <w:r w:rsidRPr="00A82E77">
              <w:rPr>
                <w:rFonts w:ascii="Times New Roman" w:eastAsiaTheme="minorEastAsia" w:hAnsi="Times New Roman" w:cs="Times New Roman"/>
                <w:sz w:val="24"/>
                <w:szCs w:val="24"/>
                <w:lang w:val="en-US" w:eastAsia="en-IE"/>
              </w:rPr>
              <w:tab/>
              <w:t>patterns,</w:t>
            </w:r>
            <w:r w:rsidRPr="00A82E77">
              <w:rPr>
                <w:rFonts w:ascii="Times New Roman" w:eastAsiaTheme="minorEastAsia" w:hAnsi="Times New Roman" w:cs="Times New Roman"/>
                <w:sz w:val="24"/>
                <w:szCs w:val="24"/>
                <w:lang w:val="en-US" w:eastAsia="en-IE"/>
              </w:rPr>
              <w:tab/>
              <w:t>location,</w:t>
            </w:r>
            <w:r w:rsidRPr="00A82E77">
              <w:rPr>
                <w:rFonts w:ascii="Times New Roman" w:eastAsiaTheme="minorEastAsia" w:hAnsi="Times New Roman" w:cs="Times New Roman"/>
                <w:sz w:val="24"/>
                <w:szCs w:val="24"/>
                <w:lang w:val="en-US" w:eastAsia="en-IE"/>
              </w:rPr>
              <w:tab/>
              <w:t>time</w:t>
            </w:r>
            <w:r w:rsidRPr="00A82E77">
              <w:rPr>
                <w:rFonts w:ascii="Times New Roman" w:eastAsiaTheme="minorEastAsia" w:hAnsi="Times New Roman" w:cs="Times New Roman"/>
                <w:sz w:val="24"/>
                <w:szCs w:val="24"/>
                <w:lang w:val="en-US" w:eastAsia="en-IE"/>
              </w:rPr>
              <w:tab/>
              <w:t>(day/night,</w:t>
            </w:r>
            <w:r w:rsidRPr="00A82E77">
              <w:rPr>
                <w:rFonts w:ascii="Times New Roman" w:eastAsiaTheme="minorEastAsia" w:hAnsi="Times New Roman" w:cs="Times New Roman"/>
                <w:sz w:val="24"/>
                <w:szCs w:val="24"/>
                <w:lang w:val="en-US" w:eastAsia="en-IE"/>
              </w:rPr>
              <w:tab/>
              <w:t>summer/winter,</w:t>
            </w:r>
            <w:r w:rsidRPr="00A82E77">
              <w:rPr>
                <w:rFonts w:ascii="Times New Roman" w:eastAsiaTheme="minorEastAsia" w:hAnsi="Times New Roman" w:cs="Times New Roman"/>
                <w:sz w:val="24"/>
                <w:szCs w:val="24"/>
                <w:lang w:val="en-US" w:eastAsia="en-IE"/>
              </w:rPr>
              <w:br/>
              <w:t>week/weekend), and assumed use stage lifespan of products;</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Transportation to the location of use;</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Refrigeration at the location of use;</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Preparation for use (e.g. microwaving);</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Resource consumption during use (e.g. energy consumption for microwaving, water use, etc.);</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Repair and maintenance of the product during the use stage.</w:t>
            </w:r>
          </w:p>
        </w:tc>
      </w:tr>
      <w:tr w:rsidR="00A82E77" w:rsidRPr="00A82E77" w:rsidTr="00A82E77">
        <w:trPr>
          <w:trHeight w:val="3990"/>
        </w:trPr>
        <w:tc>
          <w:tcPr>
            <w:tcW w:w="2093" w:type="dxa"/>
            <w:tcBorders>
              <w:top w:val="single" w:sz="5" w:space="0" w:color="auto"/>
              <w:left w:val="single" w:sz="5" w:space="0" w:color="auto"/>
              <w:bottom w:val="single" w:sz="4" w:space="0" w:color="auto"/>
              <w:right w:val="single" w:sz="5" w:space="0" w:color="auto"/>
            </w:tcBorders>
          </w:tcPr>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lastRenderedPageBreak/>
              <w:t>Logistics</w:t>
            </w:r>
          </w:p>
        </w:tc>
        <w:tc>
          <w:tcPr>
            <w:tcW w:w="7886" w:type="dxa"/>
            <w:tcBorders>
              <w:top w:val="single" w:sz="5" w:space="0" w:color="auto"/>
              <w:left w:val="single" w:sz="5" w:space="0" w:color="auto"/>
              <w:bottom w:val="single" w:sz="4" w:space="0" w:color="auto"/>
              <w:right w:val="single" w:sz="5" w:space="0" w:color="auto"/>
            </w:tcBorders>
          </w:tcPr>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Transport parameters that should be taken into account are:</w:t>
            </w:r>
          </w:p>
          <w:p w:rsidR="00A82E77" w:rsidRPr="00A82E77" w:rsidRDefault="00A82E77" w:rsidP="00A82E77">
            <w:pPr>
              <w:widowControl w:val="0"/>
              <w:numPr>
                <w:ilvl w:val="0"/>
                <w:numId w:val="8"/>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b/>
                <w:bCs/>
                <w:sz w:val="24"/>
                <w:szCs w:val="24"/>
                <w:lang w:val="en-US" w:eastAsia="en-IE"/>
              </w:rPr>
              <w:t>Transport type</w:t>
            </w:r>
            <w:r w:rsidRPr="00A82E77">
              <w:rPr>
                <w:rFonts w:ascii="Times New Roman" w:eastAsiaTheme="minorEastAsia" w:hAnsi="Times New Roman" w:cs="Times New Roman"/>
                <w:sz w:val="24"/>
                <w:szCs w:val="24"/>
                <w:lang w:val="en-US" w:eastAsia="en-IE"/>
              </w:rPr>
              <w:t>: The type of transport, e.g. by land (truck, rail, pipe), by water (boat, ferry, barge), or air (airplane), should be taken into account;</w:t>
            </w:r>
          </w:p>
          <w:p w:rsidR="00A82E77" w:rsidRPr="00A82E77" w:rsidRDefault="00A82E77" w:rsidP="00A82E77">
            <w:pPr>
              <w:widowControl w:val="0"/>
              <w:numPr>
                <w:ilvl w:val="0"/>
                <w:numId w:val="8"/>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b/>
                <w:bCs/>
                <w:sz w:val="24"/>
                <w:szCs w:val="24"/>
                <w:lang w:val="en-US" w:eastAsia="en-IE"/>
              </w:rPr>
              <w:t>Vehicle type and fuel consumption</w:t>
            </w:r>
            <w:r w:rsidRPr="00A82E77">
              <w:rPr>
                <w:rFonts w:ascii="Times New Roman" w:eastAsiaTheme="minorEastAsia" w:hAnsi="Times New Roman" w:cs="Times New Roman"/>
                <w:sz w:val="24"/>
                <w:szCs w:val="24"/>
                <w:lang w:val="en-US" w:eastAsia="en-IE"/>
              </w:rPr>
              <w:t>: The type of vehicle should be taken into account by transport type, as well as the fuel consumption when fully loaded and empty. An adjustment should be applied to the consumption of a fully-loaded vehicle according</w:t>
            </w:r>
          </w:p>
          <w:p w:rsidR="00A82E77" w:rsidRPr="00A82E77" w:rsidRDefault="00A82E77" w:rsidP="00A82E77">
            <w:pPr>
              <w:widowControl w:val="0"/>
              <w:numPr>
                <w:ilvl w:val="0"/>
                <w:numId w:val="8"/>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Transport distance;</w:t>
            </w:r>
          </w:p>
          <w:p w:rsidR="00A82E77" w:rsidRPr="00A82E77" w:rsidRDefault="00A82E77" w:rsidP="00A82E77">
            <w:pPr>
              <w:widowControl w:val="0"/>
              <w:numPr>
                <w:ilvl w:val="0"/>
                <w:numId w:val="8"/>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Fuel production.</w:t>
            </w:r>
          </w:p>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Additional transport parameters that should be taken into account (if relevant) are: transport infrastructure, additional resources and tools such as cranes and transporters, allocation for personal transport based on time or distance, allocation for staff business travel based on time, distance or economic value.</w:t>
            </w:r>
          </w:p>
        </w:tc>
      </w:tr>
      <w:tr w:rsidR="00A82E77" w:rsidRPr="00F77656" w:rsidTr="00A82E77">
        <w:trPr>
          <w:trHeight w:val="3990"/>
        </w:trPr>
        <w:tc>
          <w:tcPr>
            <w:tcW w:w="2093" w:type="dxa"/>
            <w:tcBorders>
              <w:top w:val="single" w:sz="5" w:space="0" w:color="auto"/>
              <w:left w:val="single" w:sz="5" w:space="0" w:color="auto"/>
              <w:bottom w:val="single" w:sz="4" w:space="0" w:color="auto"/>
              <w:right w:val="single" w:sz="5" w:space="0" w:color="auto"/>
            </w:tcBorders>
          </w:tcPr>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End of Life (EoL)</w:t>
            </w:r>
          </w:p>
        </w:tc>
        <w:tc>
          <w:tcPr>
            <w:tcW w:w="7886" w:type="dxa"/>
            <w:tcBorders>
              <w:top w:val="single" w:sz="5" w:space="0" w:color="auto"/>
              <w:left w:val="single" w:sz="5" w:space="0" w:color="auto"/>
              <w:bottom w:val="single" w:sz="4" w:space="0" w:color="auto"/>
              <w:right w:val="single" w:sz="5" w:space="0" w:color="auto"/>
            </w:tcBorders>
          </w:tcPr>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The EoL stage begins when the used product is discarded by the user and ends when the product is returned to nature as a waste product or enters another product’s life cycle (i.e. as a recycled input). Examples of EoL processes that (if applicable) should be included in the assessment are:</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Collection and transport of end-of-life products and packages;</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Dismantling of components;</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Shredding and sorting;</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Conversion into recycled material;</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Biological treatment, e.g. composting and anaerobic digestion;</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Littering;</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Incineration and disposal of bottom ash;</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Landfilling and landfill operation and maintenance;</w:t>
            </w:r>
          </w:p>
          <w:p w:rsidR="00A82E77" w:rsidRPr="00A82E77" w:rsidRDefault="00A82E77" w:rsidP="00A82E77">
            <w:pPr>
              <w:widowControl w:val="0"/>
              <w:numPr>
                <w:ilvl w:val="0"/>
                <w:numId w:val="6"/>
              </w:numPr>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Transport required to all EoL treatment facilities.</w:t>
            </w:r>
          </w:p>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A comprehensive source of technical information about management of biodegradable waste and methodological specification on life-cycle modelling is provided by the JRC technical report “Supporting environmentally sound decisions for bio-waste management – A practical guide to Life Cycle Thinking (LCT) and Life Cycle Assessment (LCA)” (EC, 2010).</w:t>
            </w:r>
          </w:p>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Life cycle inventories for these EoL processes have to be typical of the bio-product groups and of the materials contained in them.</w:t>
            </w:r>
          </w:p>
        </w:tc>
      </w:tr>
      <w:tr w:rsidR="00A82E77" w:rsidRPr="00F77656" w:rsidTr="00A82E77">
        <w:trPr>
          <w:trHeight w:val="3990"/>
        </w:trPr>
        <w:tc>
          <w:tcPr>
            <w:tcW w:w="2093" w:type="dxa"/>
            <w:tcBorders>
              <w:top w:val="single" w:sz="5" w:space="0" w:color="auto"/>
              <w:left w:val="single" w:sz="5" w:space="0" w:color="auto"/>
              <w:bottom w:val="single" w:sz="4" w:space="0" w:color="auto"/>
              <w:right w:val="single" w:sz="5" w:space="0" w:color="auto"/>
            </w:tcBorders>
          </w:tcPr>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Accounting for electricity use</w:t>
            </w:r>
          </w:p>
        </w:tc>
        <w:tc>
          <w:tcPr>
            <w:tcW w:w="7886" w:type="dxa"/>
            <w:tcBorders>
              <w:top w:val="single" w:sz="5" w:space="0" w:color="auto"/>
              <w:left w:val="single" w:sz="5" w:space="0" w:color="auto"/>
              <w:bottom w:val="single" w:sz="4" w:space="0" w:color="auto"/>
              <w:right w:val="single" w:sz="5" w:space="0" w:color="auto"/>
            </w:tcBorders>
          </w:tcPr>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r w:rsidRPr="00A82E77">
              <w:rPr>
                <w:rFonts w:ascii="Times New Roman" w:eastAsiaTheme="minorEastAsia" w:hAnsi="Times New Roman" w:cs="Times New Roman"/>
                <w:sz w:val="24"/>
                <w:szCs w:val="24"/>
                <w:lang w:val="en-US" w:eastAsia="en-IE"/>
              </w:rPr>
              <w:t>For electricity from the grid consumed upstream or within the defined assessment boundary, supplier-specific data should be used if available. If these are not available, country-specific consumption-mix data should be used of the country in which the life cycle stages occur. For electricity consumed during the use stage of products, the energy mix should reflect ratios of sales between countries or regions. Where such data are not available, the average EU consumption mix, or otherwise the most representative mix, should be used.</w:t>
            </w:r>
          </w:p>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p>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p>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p>
          <w:p w:rsidR="00A82E77" w:rsidRPr="00A82E77" w:rsidRDefault="00A82E77" w:rsidP="00A82E77">
            <w:pPr>
              <w:widowControl w:val="0"/>
              <w:kinsoku w:val="0"/>
              <w:spacing w:after="0" w:line="240" w:lineRule="auto"/>
              <w:rPr>
                <w:rFonts w:ascii="Times New Roman" w:eastAsiaTheme="minorEastAsia" w:hAnsi="Times New Roman" w:cs="Times New Roman"/>
                <w:sz w:val="24"/>
                <w:szCs w:val="24"/>
                <w:lang w:val="en-US" w:eastAsia="en-IE"/>
              </w:rPr>
            </w:pPr>
          </w:p>
        </w:tc>
      </w:tr>
    </w:tbl>
    <w:p w:rsidR="00DB59BC" w:rsidRDefault="0071276F" w:rsidP="0006238A">
      <w:pPr>
        <w:widowControl w:val="0"/>
        <w:kinsoku w:val="0"/>
        <w:spacing w:after="0" w:line="240" w:lineRule="auto"/>
        <w:rPr>
          <w:rFonts w:eastAsiaTheme="minorEastAsia" w:cs="Times New Roman"/>
          <w:i/>
          <w:sz w:val="24"/>
          <w:szCs w:val="24"/>
          <w:lang w:val="en-US" w:eastAsia="en-IE"/>
        </w:rPr>
      </w:pPr>
      <w:r w:rsidRPr="0071276F">
        <w:rPr>
          <w:rFonts w:eastAsiaTheme="minorEastAsia" w:cs="Times New Roman"/>
          <w:i/>
          <w:sz w:val="24"/>
          <w:szCs w:val="24"/>
          <w:lang w:val="en-US" w:eastAsia="en-IE"/>
        </w:rPr>
        <w:t>(</w:t>
      </w:r>
      <w:r w:rsidR="004F3B08">
        <w:rPr>
          <w:rFonts w:eastAsiaTheme="minorEastAsia" w:cs="Times New Roman"/>
          <w:i/>
          <w:sz w:val="24"/>
          <w:szCs w:val="24"/>
          <w:lang w:val="en-US" w:eastAsia="en-IE"/>
        </w:rPr>
        <w:t xml:space="preserve">Source: </w:t>
      </w:r>
      <w:r w:rsidRPr="0071276F">
        <w:rPr>
          <w:rFonts w:eastAsiaTheme="minorEastAsia" w:cs="Times New Roman"/>
          <w:i/>
          <w:sz w:val="24"/>
          <w:szCs w:val="24"/>
          <w:lang w:val="en-US" w:eastAsia="en-IE"/>
        </w:rPr>
        <w:t>European Commission, 2010)</w:t>
      </w:r>
    </w:p>
    <w:p w:rsidR="0006238A" w:rsidRPr="00207B36" w:rsidRDefault="0006238A" w:rsidP="00207B36">
      <w:pPr>
        <w:widowControl w:val="0"/>
        <w:kinsoku w:val="0"/>
        <w:spacing w:after="0" w:line="480" w:lineRule="auto"/>
        <w:rPr>
          <w:rFonts w:ascii="Times New Roman" w:eastAsiaTheme="minorEastAsia" w:hAnsi="Times New Roman" w:cs="Times New Roman"/>
          <w:i/>
          <w:sz w:val="24"/>
          <w:szCs w:val="24"/>
          <w:lang w:val="en-US" w:eastAsia="en-IE"/>
        </w:rPr>
      </w:pPr>
      <w:r w:rsidRPr="00207B36">
        <w:rPr>
          <w:rFonts w:ascii="Times New Roman" w:eastAsiaTheme="minorEastAsia" w:hAnsi="Times New Roman" w:cs="Times New Roman"/>
          <w:b/>
          <w:i/>
          <w:sz w:val="24"/>
          <w:szCs w:val="24"/>
          <w:lang w:val="en-US" w:eastAsia="en-IE"/>
        </w:rPr>
        <w:lastRenderedPageBreak/>
        <w:t>Economic Sustainability Discussion</w:t>
      </w:r>
    </w:p>
    <w:p w:rsidR="0006238A" w:rsidRPr="00207B36" w:rsidRDefault="0006238A" w:rsidP="00207B36">
      <w:pPr>
        <w:widowControl w:val="0"/>
        <w:kinsoku w:val="0"/>
        <w:spacing w:after="0" w:line="480" w:lineRule="auto"/>
        <w:rPr>
          <w:rFonts w:ascii="Times New Roman" w:eastAsiaTheme="minorEastAsia" w:hAnsi="Times New Roman" w:cs="Times New Roman"/>
          <w:b/>
          <w:i/>
          <w:sz w:val="24"/>
          <w:szCs w:val="24"/>
          <w:lang w:val="en-US" w:eastAsia="en-IE"/>
        </w:rPr>
      </w:pPr>
    </w:p>
    <w:p w:rsidR="0006238A" w:rsidRPr="00207B36" w:rsidRDefault="0006238A" w:rsidP="00207B36">
      <w:pPr>
        <w:widowControl w:val="0"/>
        <w:kinsoku w:val="0"/>
        <w:spacing w:after="0" w:line="480" w:lineRule="auto"/>
        <w:rPr>
          <w:rFonts w:ascii="Times New Roman" w:eastAsiaTheme="minorEastAsia" w:hAnsi="Times New Roman" w:cs="Times New Roman"/>
          <w:sz w:val="24"/>
          <w:szCs w:val="24"/>
          <w:lang w:val="en-IE" w:eastAsia="en-IE"/>
        </w:rPr>
      </w:pPr>
      <w:r w:rsidRPr="00207B36">
        <w:rPr>
          <w:rFonts w:ascii="Times New Roman" w:eastAsiaTheme="minorEastAsia" w:hAnsi="Times New Roman" w:cs="Times New Roman"/>
          <w:sz w:val="24"/>
          <w:szCs w:val="24"/>
          <w:lang w:val="en-IE" w:eastAsia="en-IE"/>
        </w:rPr>
        <w:t xml:space="preserve">Broody et al., (2005) believe that expenditure on capital goods </w:t>
      </w:r>
      <w:r w:rsidR="00AC631F" w:rsidRPr="00207B36">
        <w:rPr>
          <w:rFonts w:ascii="Times New Roman" w:eastAsiaTheme="minorEastAsia" w:hAnsi="Times New Roman" w:cs="Times New Roman"/>
          <w:sz w:val="24"/>
          <w:szCs w:val="24"/>
          <w:lang w:val="en-IE" w:eastAsia="en-IE"/>
        </w:rPr>
        <w:t>(Capital goods step</w:t>
      </w:r>
      <w:r w:rsidRPr="00207B36">
        <w:rPr>
          <w:rFonts w:ascii="Times New Roman" w:eastAsiaTheme="minorEastAsia" w:hAnsi="Times New Roman" w:cs="Times New Roman"/>
          <w:sz w:val="24"/>
          <w:szCs w:val="24"/>
          <w:lang w:val="en-IE" w:eastAsia="en-IE"/>
        </w:rPr>
        <w:t xml:space="preserve">) in farm set-up and equipment to switch to bioeconomy agriculture should be minimal and ideally zero. For example, there is generally no extra cost to switch from conventional tillage (uses cultivation, ploughing and harrowing for seedbed preparation and weed control) to conservational tillage (soil cultivation that leaves the previous year's crop residue on the field before and after planting the next crop to reduce soil erosion and runoff) in terms of equipment requirements. </w:t>
      </w:r>
    </w:p>
    <w:p w:rsidR="0006238A" w:rsidRPr="00207B36" w:rsidRDefault="0006238A" w:rsidP="00207B36">
      <w:pPr>
        <w:widowControl w:val="0"/>
        <w:kinsoku w:val="0"/>
        <w:spacing w:after="0" w:line="480" w:lineRule="auto"/>
        <w:rPr>
          <w:rFonts w:ascii="Times New Roman" w:eastAsiaTheme="minorEastAsia" w:hAnsi="Times New Roman" w:cs="Times New Roman"/>
          <w:sz w:val="24"/>
          <w:szCs w:val="24"/>
          <w:lang w:val="en-IE" w:eastAsia="en-IE"/>
        </w:rPr>
      </w:pPr>
    </w:p>
    <w:p w:rsidR="0006238A" w:rsidRPr="00207B36" w:rsidRDefault="0006238A" w:rsidP="00207B36">
      <w:pPr>
        <w:widowControl w:val="0"/>
        <w:kinsoku w:val="0"/>
        <w:spacing w:after="0" w:line="480" w:lineRule="auto"/>
        <w:rPr>
          <w:rFonts w:ascii="Times New Roman" w:eastAsiaTheme="minorEastAsia" w:hAnsi="Times New Roman" w:cs="Times New Roman"/>
          <w:sz w:val="24"/>
          <w:szCs w:val="24"/>
          <w:lang w:val="en-IE" w:eastAsia="en-IE"/>
        </w:rPr>
      </w:pPr>
      <w:r w:rsidRPr="00207B36">
        <w:rPr>
          <w:rFonts w:ascii="Times New Roman" w:eastAsiaTheme="minorEastAsia" w:hAnsi="Times New Roman" w:cs="Times New Roman"/>
          <w:sz w:val="24"/>
          <w:szCs w:val="24"/>
          <w:lang w:val="en-IE" w:eastAsia="en-IE"/>
        </w:rPr>
        <w:t>Zhuang et al., (20</w:t>
      </w:r>
      <w:r w:rsidR="00DE6172" w:rsidRPr="00207B36">
        <w:rPr>
          <w:rFonts w:ascii="Times New Roman" w:eastAsiaTheme="minorEastAsia" w:hAnsi="Times New Roman" w:cs="Times New Roman"/>
          <w:sz w:val="24"/>
          <w:szCs w:val="24"/>
          <w:lang w:val="en-IE" w:eastAsia="en-IE"/>
        </w:rPr>
        <w:t xml:space="preserve">15) also believe that the </w:t>
      </w:r>
      <w:r w:rsidRPr="00207B36">
        <w:rPr>
          <w:rFonts w:ascii="Times New Roman" w:eastAsiaTheme="minorEastAsia" w:hAnsi="Times New Roman" w:cs="Times New Roman"/>
          <w:sz w:val="24"/>
          <w:szCs w:val="24"/>
          <w:lang w:val="en-IE" w:eastAsia="en-IE"/>
        </w:rPr>
        <w:t>overall LCA assessment cash flow of the individual (farmer) does not change significantly when switching priority from the cash flow maximization objective to the minimization of global warming potential or eutrophication potential. Their research concludes that in environmentally friendly agriculture, significant environmental benefits can be reaped by avoiding the worst-case environment scenario while possibly only incurring a small sacrifice in economic profits. But research also proves that consumers are generally willing to buy environmentally sustainable products</w:t>
      </w:r>
      <w:r w:rsidR="00DE6172" w:rsidRPr="00207B36">
        <w:rPr>
          <w:rFonts w:ascii="Times New Roman" w:eastAsiaTheme="minorEastAsia" w:hAnsi="Times New Roman" w:cs="Times New Roman"/>
          <w:sz w:val="24"/>
          <w:szCs w:val="24"/>
          <w:lang w:val="en-IE" w:eastAsia="en-IE"/>
        </w:rPr>
        <w:t xml:space="preserve">. Therefore, </w:t>
      </w:r>
      <w:r w:rsidRPr="00207B36">
        <w:rPr>
          <w:rFonts w:ascii="Times New Roman" w:eastAsiaTheme="minorEastAsia" w:hAnsi="Times New Roman" w:cs="Times New Roman"/>
          <w:sz w:val="24"/>
          <w:szCs w:val="24"/>
          <w:lang w:val="en-IE" w:eastAsia="en-IE"/>
        </w:rPr>
        <w:t xml:space="preserve">even that small sacrifice in profits can be overcome. </w:t>
      </w:r>
    </w:p>
    <w:p w:rsidR="00F93231" w:rsidRDefault="00F93231" w:rsidP="0006238A">
      <w:pPr>
        <w:widowControl w:val="0"/>
        <w:kinsoku w:val="0"/>
        <w:spacing w:after="0" w:line="240" w:lineRule="auto"/>
        <w:rPr>
          <w:rFonts w:eastAsiaTheme="minorEastAsia" w:cs="Times New Roman"/>
          <w:sz w:val="24"/>
          <w:szCs w:val="24"/>
          <w:lang w:val="en-IE" w:eastAsia="en-IE"/>
        </w:rPr>
      </w:pPr>
    </w:p>
    <w:p w:rsidR="00F93231" w:rsidRDefault="00F93231" w:rsidP="0006238A">
      <w:pPr>
        <w:widowControl w:val="0"/>
        <w:kinsoku w:val="0"/>
        <w:spacing w:after="0" w:line="240" w:lineRule="auto"/>
        <w:rPr>
          <w:rFonts w:eastAsiaTheme="minorEastAsia" w:cs="Times New Roman"/>
          <w:sz w:val="24"/>
          <w:szCs w:val="24"/>
          <w:lang w:val="en-IE" w:eastAsia="en-IE"/>
        </w:rPr>
      </w:pPr>
    </w:p>
    <w:p w:rsidR="00F93231" w:rsidRDefault="00F93231" w:rsidP="0006238A">
      <w:pPr>
        <w:widowControl w:val="0"/>
        <w:kinsoku w:val="0"/>
        <w:spacing w:after="0" w:line="240" w:lineRule="auto"/>
        <w:rPr>
          <w:rFonts w:eastAsiaTheme="minorEastAsia" w:cs="Times New Roman"/>
          <w:sz w:val="24"/>
          <w:szCs w:val="24"/>
          <w:lang w:val="en-IE" w:eastAsia="en-IE"/>
        </w:rPr>
      </w:pPr>
    </w:p>
    <w:p w:rsidR="00F93231" w:rsidRDefault="00F93231" w:rsidP="0006238A">
      <w:pPr>
        <w:widowControl w:val="0"/>
        <w:kinsoku w:val="0"/>
        <w:spacing w:after="0" w:line="240" w:lineRule="auto"/>
        <w:rPr>
          <w:rFonts w:eastAsiaTheme="minorEastAsia" w:cs="Times New Roman"/>
          <w:sz w:val="24"/>
          <w:szCs w:val="24"/>
          <w:lang w:val="en-IE" w:eastAsia="en-IE"/>
        </w:rPr>
      </w:pPr>
    </w:p>
    <w:p w:rsidR="00F93231" w:rsidRDefault="00F93231" w:rsidP="0006238A">
      <w:pPr>
        <w:widowControl w:val="0"/>
        <w:kinsoku w:val="0"/>
        <w:spacing w:after="0" w:line="240" w:lineRule="auto"/>
        <w:rPr>
          <w:rFonts w:eastAsiaTheme="minorEastAsia" w:cs="Times New Roman"/>
          <w:sz w:val="24"/>
          <w:szCs w:val="24"/>
          <w:lang w:val="en-IE" w:eastAsia="en-IE"/>
        </w:rPr>
      </w:pPr>
    </w:p>
    <w:p w:rsidR="00F93231" w:rsidRDefault="00F93231" w:rsidP="0006238A">
      <w:pPr>
        <w:widowControl w:val="0"/>
        <w:kinsoku w:val="0"/>
        <w:spacing w:after="0" w:line="240" w:lineRule="auto"/>
        <w:rPr>
          <w:rFonts w:eastAsiaTheme="minorEastAsia" w:cs="Times New Roman"/>
          <w:sz w:val="24"/>
          <w:szCs w:val="24"/>
          <w:lang w:val="en-IE" w:eastAsia="en-IE"/>
        </w:rPr>
      </w:pPr>
    </w:p>
    <w:p w:rsidR="00F93231" w:rsidRDefault="00F93231" w:rsidP="0006238A">
      <w:pPr>
        <w:widowControl w:val="0"/>
        <w:kinsoku w:val="0"/>
        <w:spacing w:after="0" w:line="240" w:lineRule="auto"/>
        <w:rPr>
          <w:rFonts w:eastAsiaTheme="minorEastAsia" w:cs="Times New Roman"/>
          <w:sz w:val="24"/>
          <w:szCs w:val="24"/>
          <w:lang w:val="en-IE" w:eastAsia="en-IE"/>
        </w:rPr>
      </w:pPr>
    </w:p>
    <w:p w:rsidR="00207B36" w:rsidRDefault="00207B36" w:rsidP="00F93231">
      <w:pPr>
        <w:rPr>
          <w:rFonts w:eastAsiaTheme="minorEastAsia" w:cs="Times New Roman"/>
          <w:sz w:val="24"/>
          <w:szCs w:val="24"/>
          <w:lang w:val="en-IE" w:eastAsia="en-IE"/>
        </w:rPr>
      </w:pPr>
    </w:p>
    <w:p w:rsidR="00207B36" w:rsidRDefault="00207B36" w:rsidP="00F93231">
      <w:pPr>
        <w:rPr>
          <w:rFonts w:eastAsiaTheme="minorEastAsia" w:cs="Times New Roman"/>
          <w:sz w:val="24"/>
          <w:szCs w:val="24"/>
          <w:lang w:val="en-IE" w:eastAsia="en-IE"/>
        </w:rPr>
      </w:pPr>
    </w:p>
    <w:p w:rsidR="00F93231" w:rsidRPr="00207B36" w:rsidRDefault="00F93231" w:rsidP="00F93231">
      <w:pPr>
        <w:rPr>
          <w:rFonts w:ascii="Times New Roman" w:hAnsi="Times New Roman" w:cs="Times New Roman"/>
          <w:b/>
          <w:sz w:val="24"/>
          <w:szCs w:val="24"/>
        </w:rPr>
      </w:pPr>
      <w:r w:rsidRPr="00207B36">
        <w:rPr>
          <w:rFonts w:ascii="Times New Roman" w:hAnsi="Times New Roman" w:cs="Times New Roman"/>
          <w:b/>
          <w:noProof/>
          <w:sz w:val="24"/>
          <w:szCs w:val="24"/>
          <w:lang w:eastAsia="en-GB"/>
        </w:rPr>
        <w:lastRenderedPageBreak/>
        <mc:AlternateContent>
          <mc:Choice Requires="wps">
            <w:drawing>
              <wp:anchor distT="0" distB="0" distL="114300" distR="114300" simplePos="0" relativeHeight="251679744" behindDoc="0" locked="0" layoutInCell="1" allowOverlap="1" wp14:anchorId="5E15A4D6" wp14:editId="7F617B75">
                <wp:simplePos x="0" y="0"/>
                <wp:positionH relativeFrom="column">
                  <wp:posOffset>1714500</wp:posOffset>
                </wp:positionH>
                <wp:positionV relativeFrom="paragraph">
                  <wp:posOffset>5372100</wp:posOffset>
                </wp:positionV>
                <wp:extent cx="0" cy="1028700"/>
                <wp:effectExtent l="76200" t="0" r="57150" b="57150"/>
                <wp:wrapNone/>
                <wp:docPr id="31" name="Straight Arrow Connector 31"/>
                <wp:cNvGraphicFramePr/>
                <a:graphic xmlns:a="http://schemas.openxmlformats.org/drawingml/2006/main">
                  <a:graphicData uri="http://schemas.microsoft.com/office/word/2010/wordprocessingShape">
                    <wps:wsp>
                      <wps:cNvCnPr/>
                      <wps:spPr>
                        <a:xfrm>
                          <a:off x="0" y="0"/>
                          <a:ext cx="0" cy="10287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12B90638" id="_x0000_t32" coordsize="21600,21600" o:spt="32" o:oned="t" path="m,l21600,21600e" filled="f">
                <v:path arrowok="t" fillok="f" o:connecttype="none"/>
                <o:lock v:ext="edit" shapetype="t"/>
              </v:shapetype>
              <v:shape id="Straight Arrow Connector 31" o:spid="_x0000_s1026" type="#_x0000_t32" style="position:absolute;margin-left:135pt;margin-top:423pt;width:0;height:8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" strokecolor="#4472c4" strokeweight=".5pt">
                <v:stroke endarrow="block" joinstyle="miter"/>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78720" behindDoc="0" locked="0" layoutInCell="1" allowOverlap="1" wp14:anchorId="59CA2FEA" wp14:editId="3C9CF9F3">
                <wp:simplePos x="0" y="0"/>
                <wp:positionH relativeFrom="column">
                  <wp:posOffset>3552825</wp:posOffset>
                </wp:positionH>
                <wp:positionV relativeFrom="paragraph">
                  <wp:posOffset>5372100</wp:posOffset>
                </wp:positionV>
                <wp:extent cx="0" cy="1028700"/>
                <wp:effectExtent l="7620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10287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B0A0C73" id="Straight Arrow Connector 30" o:spid="_x0000_s1026" type="#_x0000_t32" style="position:absolute;margin-left:279.75pt;margin-top:423pt;width:0;height:8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" strokecolor="#4472c4" strokeweight=".5pt">
                <v:stroke endarrow="block" joinstyle="miter"/>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77696" behindDoc="0" locked="0" layoutInCell="1" allowOverlap="1" wp14:anchorId="6D2DC63A" wp14:editId="101A8EF1">
                <wp:simplePos x="0" y="0"/>
                <wp:positionH relativeFrom="column">
                  <wp:posOffset>5257800</wp:posOffset>
                </wp:positionH>
                <wp:positionV relativeFrom="paragraph">
                  <wp:posOffset>5372100</wp:posOffset>
                </wp:positionV>
                <wp:extent cx="0" cy="102870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10287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627E705" id="Straight Arrow Connector 29" o:spid="_x0000_s1026" type="#_x0000_t32" style="position:absolute;margin-left:414pt;margin-top:423pt;width:0;height:8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" strokecolor="#4472c4" strokeweight=".5pt">
                <v:stroke endarrow="block" joinstyle="miter"/>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76672" behindDoc="0" locked="0" layoutInCell="1" allowOverlap="1" wp14:anchorId="65EA6E5E" wp14:editId="6D98FC8A">
                <wp:simplePos x="0" y="0"/>
                <wp:positionH relativeFrom="column">
                  <wp:posOffset>5257800</wp:posOffset>
                </wp:positionH>
                <wp:positionV relativeFrom="paragraph">
                  <wp:posOffset>3895724</wp:posOffset>
                </wp:positionV>
                <wp:extent cx="0" cy="923925"/>
                <wp:effectExtent l="76200" t="0" r="57150" b="47625"/>
                <wp:wrapNone/>
                <wp:docPr id="28" name="Straight Arrow Connector 28"/>
                <wp:cNvGraphicFramePr/>
                <a:graphic xmlns:a="http://schemas.openxmlformats.org/drawingml/2006/main">
                  <a:graphicData uri="http://schemas.microsoft.com/office/word/2010/wordprocessingShape">
                    <wps:wsp>
                      <wps:cNvCnPr/>
                      <wps:spPr>
                        <a:xfrm>
                          <a:off x="0" y="0"/>
                          <a:ext cx="0" cy="9239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E51F169" id="Straight Arrow Connector 28" o:spid="_x0000_s1026" type="#_x0000_t32" style="position:absolute;margin-left:414pt;margin-top:306.75pt;width:0;height:72.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" strokecolor="#4472c4" strokeweight=".5pt">
                <v:stroke endarrow="block" joinstyle="miter"/>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75648" behindDoc="0" locked="0" layoutInCell="1" allowOverlap="1" wp14:anchorId="211D25A8" wp14:editId="763A6AAE">
                <wp:simplePos x="0" y="0"/>
                <wp:positionH relativeFrom="column">
                  <wp:posOffset>3543300</wp:posOffset>
                </wp:positionH>
                <wp:positionV relativeFrom="paragraph">
                  <wp:posOffset>3895724</wp:posOffset>
                </wp:positionV>
                <wp:extent cx="0" cy="923925"/>
                <wp:effectExtent l="76200" t="0" r="57150" b="47625"/>
                <wp:wrapNone/>
                <wp:docPr id="27" name="Straight Arrow Connector 27"/>
                <wp:cNvGraphicFramePr/>
                <a:graphic xmlns:a="http://schemas.openxmlformats.org/drawingml/2006/main">
                  <a:graphicData uri="http://schemas.microsoft.com/office/word/2010/wordprocessingShape">
                    <wps:wsp>
                      <wps:cNvCnPr/>
                      <wps:spPr>
                        <a:xfrm>
                          <a:off x="0" y="0"/>
                          <a:ext cx="0" cy="9239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DC6C8B5" id="Straight Arrow Connector 27" o:spid="_x0000_s1026" type="#_x0000_t32" style="position:absolute;margin-left:279pt;margin-top:306.75pt;width:0;height:72.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" strokecolor="#4472c4" strokeweight=".5pt">
                <v:stroke endarrow="block" joinstyle="miter"/>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74624" behindDoc="0" locked="0" layoutInCell="1" allowOverlap="1" wp14:anchorId="3A1B8E72" wp14:editId="4E34815B">
                <wp:simplePos x="0" y="0"/>
                <wp:positionH relativeFrom="column">
                  <wp:posOffset>1714500</wp:posOffset>
                </wp:positionH>
                <wp:positionV relativeFrom="paragraph">
                  <wp:posOffset>3895725</wp:posOffset>
                </wp:positionV>
                <wp:extent cx="0" cy="904875"/>
                <wp:effectExtent l="76200" t="0" r="57150" b="47625"/>
                <wp:wrapNone/>
                <wp:docPr id="22" name="Straight Arrow Connector 22"/>
                <wp:cNvGraphicFramePr/>
                <a:graphic xmlns:a="http://schemas.openxmlformats.org/drawingml/2006/main">
                  <a:graphicData uri="http://schemas.microsoft.com/office/word/2010/wordprocessingShape">
                    <wps:wsp>
                      <wps:cNvCnPr/>
                      <wps:spPr>
                        <a:xfrm>
                          <a:off x="0" y="0"/>
                          <a:ext cx="0" cy="9048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FC1D05E" id="Straight Arrow Connector 22" o:spid="_x0000_s1026" type="#_x0000_t32" style="position:absolute;margin-left:135pt;margin-top:306.75pt;width:0;height:71.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" strokecolor="#4472c4" strokeweight=".5pt">
                <v:stroke endarrow="block" joinstyle="miter"/>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73600" behindDoc="0" locked="0" layoutInCell="1" allowOverlap="1" wp14:anchorId="4F536702" wp14:editId="4DA3A798">
                <wp:simplePos x="0" y="0"/>
                <wp:positionH relativeFrom="column">
                  <wp:posOffset>5257800</wp:posOffset>
                </wp:positionH>
                <wp:positionV relativeFrom="paragraph">
                  <wp:posOffset>2409825</wp:posOffset>
                </wp:positionV>
                <wp:extent cx="0" cy="914400"/>
                <wp:effectExtent l="76200" t="0" r="57150" b="57150"/>
                <wp:wrapNone/>
                <wp:docPr id="18" name="Straight Arrow Connector 18"/>
                <wp:cNvGraphicFramePr/>
                <a:graphic xmlns:a="http://schemas.openxmlformats.org/drawingml/2006/main">
                  <a:graphicData uri="http://schemas.microsoft.com/office/word/2010/wordprocessingShape">
                    <wps:wsp>
                      <wps:cNvCnPr/>
                      <wps:spPr>
                        <a:xfrm>
                          <a:off x="0" y="0"/>
                          <a:ext cx="0" cy="9144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D43B4E4" id="Straight Arrow Connector 18" o:spid="_x0000_s1026" type="#_x0000_t32" style="position:absolute;margin-left:414pt;margin-top:189.75pt;width:0;height:1in;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" strokecolor="#4472c4" strokeweight=".5pt">
                <v:stroke endarrow="block" joinstyle="miter"/>
              </v:shape>
            </w:pict>
          </mc:Fallback>
        </mc:AlternateContent>
      </w:r>
      <w:r w:rsidRPr="00207B36">
        <w:rPr>
          <w:rFonts w:ascii="Times New Roman" w:hAnsi="Times New Roman" w:cs="Times New Roman"/>
          <w:b/>
          <w:noProof/>
          <w:sz w:val="24"/>
          <w:szCs w:val="24"/>
          <w:lang w:eastAsia="en-GB"/>
        </w:rPr>
        <mc:AlternateContent>
          <mc:Choice Requires="wps">
            <w:drawing>
              <wp:anchor distT="45720" distB="45720" distL="114300" distR="114300" simplePos="0" relativeHeight="251672576" behindDoc="0" locked="0" layoutInCell="1" allowOverlap="1" wp14:anchorId="1A615354" wp14:editId="22C68094">
                <wp:simplePos x="0" y="0"/>
                <wp:positionH relativeFrom="column">
                  <wp:posOffset>0</wp:posOffset>
                </wp:positionH>
                <wp:positionV relativeFrom="paragraph">
                  <wp:posOffset>6400800</wp:posOffset>
                </wp:positionV>
                <wp:extent cx="800100" cy="6858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rsidR="008D34A0" w:rsidRPr="00C9098F" w:rsidRDefault="008D34A0" w:rsidP="00F93231">
                            <w:pPr>
                              <w:rPr>
                                <w:b/>
                                <w:color w:val="FF0000"/>
                              </w:rPr>
                            </w:pPr>
                            <w:r w:rsidRPr="00C9098F">
                              <w:rPr>
                                <w:b/>
                                <w:color w:val="FF0000"/>
                              </w:rPr>
                              <w:t>Step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15354" id="_x0000_t202" coordsize="21600,21600" o:spt="202" path="m,l,21600r21600,l21600,xe">
                <v:stroke joinstyle="miter"/>
                <v:path gradientshapeok="t" o:connecttype="rect"/>
              </v:shapetype>
              <v:shape id="Text Box 2" o:spid="_x0000_s1026" type="#_x0000_t202" style="position:absolute;margin-left:0;margin-top:7in;width:63pt;height:5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">
                <v:textbox>
                  <w:txbxContent>
                    <w:p w:rsidR="008D34A0" w:rsidRPr="00C9098F" w:rsidRDefault="008D34A0" w:rsidP="00F93231">
                      <w:pPr>
                        <w:rPr>
                          <w:b/>
                          <w:color w:val="FF0000"/>
                        </w:rPr>
                      </w:pPr>
                      <w:r w:rsidRPr="00C9098F">
                        <w:rPr>
                          <w:b/>
                          <w:color w:val="FF0000"/>
                        </w:rPr>
                        <w:t>Step 3</w:t>
                      </w:r>
                    </w:p>
                  </w:txbxContent>
                </v:textbox>
                <w10:wrap type="square"/>
              </v:shape>
            </w:pict>
          </mc:Fallback>
        </mc:AlternateContent>
      </w:r>
      <w:r w:rsidRPr="00207B36">
        <w:rPr>
          <w:rFonts w:ascii="Times New Roman" w:hAnsi="Times New Roman" w:cs="Times New Roman"/>
          <w:b/>
          <w:noProof/>
          <w:sz w:val="24"/>
          <w:szCs w:val="24"/>
          <w:lang w:eastAsia="en-GB"/>
        </w:rPr>
        <mc:AlternateContent>
          <mc:Choice Requires="wps">
            <w:drawing>
              <wp:anchor distT="45720" distB="45720" distL="114300" distR="114300" simplePos="0" relativeHeight="251671552" behindDoc="0" locked="0" layoutInCell="1" allowOverlap="1" wp14:anchorId="343F770C" wp14:editId="01C6D391">
                <wp:simplePos x="0" y="0"/>
                <wp:positionH relativeFrom="column">
                  <wp:posOffset>0</wp:posOffset>
                </wp:positionH>
                <wp:positionV relativeFrom="paragraph">
                  <wp:posOffset>4819650</wp:posOffset>
                </wp:positionV>
                <wp:extent cx="800100" cy="5715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8D34A0" w:rsidRPr="00C9098F" w:rsidRDefault="008D34A0" w:rsidP="00F93231">
                            <w:pPr>
                              <w:rPr>
                                <w:b/>
                                <w:color w:val="FF0000"/>
                              </w:rPr>
                            </w:pPr>
                            <w:r w:rsidRPr="00C9098F">
                              <w:rPr>
                                <w:b/>
                                <w:color w:val="FF0000"/>
                              </w:rPr>
                              <w:t>Step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F770C" id="_x0000_s1027" type="#_x0000_t202" style="position:absolute;margin-left:0;margin-top:379.5pt;width:63pt;height: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">
                <v:textbox>
                  <w:txbxContent>
                    <w:p w:rsidR="008D34A0" w:rsidRPr="00C9098F" w:rsidRDefault="008D34A0" w:rsidP="00F93231">
                      <w:pPr>
                        <w:rPr>
                          <w:b/>
                          <w:color w:val="FF0000"/>
                        </w:rPr>
                      </w:pPr>
                      <w:r w:rsidRPr="00C9098F">
                        <w:rPr>
                          <w:b/>
                          <w:color w:val="FF0000"/>
                        </w:rPr>
                        <w:t>Step 2</w:t>
                      </w:r>
                    </w:p>
                  </w:txbxContent>
                </v:textbox>
                <w10:wrap type="square"/>
              </v:shape>
            </w:pict>
          </mc:Fallback>
        </mc:AlternateContent>
      </w:r>
      <w:r w:rsidRPr="00207B36">
        <w:rPr>
          <w:rFonts w:ascii="Times New Roman" w:hAnsi="Times New Roman" w:cs="Times New Roman"/>
          <w:b/>
          <w:noProof/>
          <w:sz w:val="24"/>
          <w:szCs w:val="24"/>
          <w:lang w:eastAsia="en-GB"/>
        </w:rPr>
        <mc:AlternateContent>
          <mc:Choice Requires="wps">
            <w:drawing>
              <wp:anchor distT="45720" distB="45720" distL="114300" distR="114300" simplePos="0" relativeHeight="251670528" behindDoc="0" locked="0" layoutInCell="1" allowOverlap="1" wp14:anchorId="43AF0ABD" wp14:editId="2D3BBCD2">
                <wp:simplePos x="0" y="0"/>
                <wp:positionH relativeFrom="column">
                  <wp:posOffset>0</wp:posOffset>
                </wp:positionH>
                <wp:positionV relativeFrom="paragraph">
                  <wp:posOffset>3324225</wp:posOffset>
                </wp:positionV>
                <wp:extent cx="800100" cy="571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8D34A0" w:rsidRPr="00C9098F" w:rsidRDefault="008D34A0" w:rsidP="00F93231">
                            <w:pPr>
                              <w:rPr>
                                <w:b/>
                                <w:color w:val="FF0000"/>
                              </w:rPr>
                            </w:pPr>
                            <w:r w:rsidRPr="00C9098F">
                              <w:rPr>
                                <w:b/>
                                <w:color w:val="FF0000"/>
                              </w:rPr>
                              <w:t>Step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0ABD" id="_x0000_s1028" type="#_x0000_t202" style="position:absolute;margin-left:0;margin-top:261.75pt;width:63pt;height: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">
                <v:textbox>
                  <w:txbxContent>
                    <w:p w:rsidR="008D34A0" w:rsidRPr="00C9098F" w:rsidRDefault="008D34A0" w:rsidP="00F93231">
                      <w:pPr>
                        <w:rPr>
                          <w:b/>
                          <w:color w:val="FF0000"/>
                        </w:rPr>
                      </w:pPr>
                      <w:r w:rsidRPr="00C9098F">
                        <w:rPr>
                          <w:b/>
                          <w:color w:val="FF0000"/>
                        </w:rPr>
                        <w:t>Step 1</w:t>
                      </w:r>
                    </w:p>
                  </w:txbxContent>
                </v:textbox>
                <w10:wrap type="square"/>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67456" behindDoc="0" locked="0" layoutInCell="1" allowOverlap="1" wp14:anchorId="67C78BB2" wp14:editId="6D470979">
                <wp:simplePos x="0" y="0"/>
                <wp:positionH relativeFrom="column">
                  <wp:posOffset>1143000</wp:posOffset>
                </wp:positionH>
                <wp:positionV relativeFrom="paragraph">
                  <wp:posOffset>6400800</wp:posOffset>
                </wp:positionV>
                <wp:extent cx="4569460" cy="685800"/>
                <wp:effectExtent l="0" t="0" r="21590" b="19050"/>
                <wp:wrapNone/>
                <wp:docPr id="13" name="Text Box 13"/>
                <wp:cNvGraphicFramePr/>
                <a:graphic xmlns:a="http://schemas.openxmlformats.org/drawingml/2006/main">
                  <a:graphicData uri="http://schemas.microsoft.com/office/word/2010/wordprocessingShape">
                    <wps:wsp>
                      <wps:cNvSpPr txBox="1"/>
                      <wps:spPr>
                        <a:xfrm>
                          <a:off x="0" y="0"/>
                          <a:ext cx="4569460" cy="685800"/>
                        </a:xfrm>
                        <a:prstGeom prst="rect">
                          <a:avLst/>
                        </a:prstGeom>
                        <a:solidFill>
                          <a:sysClr val="window" lastClr="FFFFFF"/>
                        </a:solidFill>
                        <a:ln w="6350">
                          <a:solidFill>
                            <a:prstClr val="black"/>
                          </a:solidFill>
                        </a:ln>
                      </wps:spPr>
                      <wps:txbx>
                        <w:txbxContent>
                          <w:p w:rsidR="008D34A0" w:rsidRDefault="008D34A0" w:rsidP="00F93231">
                            <w:r>
                              <w:t>Normalisation and Weightage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78BB2" id="Text Box 13" o:spid="_x0000_s1029" type="#_x0000_t202" style="position:absolute;margin-left:90pt;margin-top:7in;width:359.8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" fillcolor="window" strokeweight=".5pt">
                <v:textbox>
                  <w:txbxContent>
                    <w:p w:rsidR="008D34A0" w:rsidRDefault="008D34A0" w:rsidP="00F93231">
                      <w:r>
                        <w:t>Normalisation and Weightage</w:t>
                      </w:r>
                    </w:p>
                  </w:txbxContent>
                </v:textbox>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64384" behindDoc="0" locked="0" layoutInCell="1" allowOverlap="1" wp14:anchorId="594350AE" wp14:editId="067B0871">
                <wp:simplePos x="0" y="0"/>
                <wp:positionH relativeFrom="column">
                  <wp:posOffset>1143000</wp:posOffset>
                </wp:positionH>
                <wp:positionV relativeFrom="paragraph">
                  <wp:posOffset>4800600</wp:posOffset>
                </wp:positionV>
                <wp:extent cx="1143000" cy="5715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143000" cy="571500"/>
                        </a:xfrm>
                        <a:prstGeom prst="rect">
                          <a:avLst/>
                        </a:prstGeom>
                        <a:solidFill>
                          <a:sysClr val="window" lastClr="FFFFFF"/>
                        </a:solidFill>
                        <a:ln w="6350">
                          <a:solidFill>
                            <a:prstClr val="black"/>
                          </a:solidFill>
                        </a:ln>
                      </wps:spPr>
                      <wps:txbx>
                        <w:txbxContent>
                          <w:p w:rsidR="008D34A0" w:rsidRDefault="008D34A0" w:rsidP="00F93231">
                            <w:r w:rsidRPr="00B868F6">
                              <w:t>Aggregating the Sumtotal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350AE" id="Text Box 10" o:spid="_x0000_s1030" type="#_x0000_t202" style="position:absolute;margin-left:90pt;margin-top:378pt;width:90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" fillcolor="window" strokeweight=".5pt">
                <v:textbox>
                  <w:txbxContent>
                    <w:p w:rsidR="008D34A0" w:rsidRDefault="008D34A0" w:rsidP="00F93231">
                      <w:r w:rsidRPr="00B868F6">
                        <w:t>Aggregating the Sumtotal</w:t>
                      </w:r>
                    </w:p>
                  </w:txbxContent>
                </v:textbox>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65408" behindDoc="0" locked="0" layoutInCell="1" allowOverlap="1" wp14:anchorId="38FF99BD" wp14:editId="40B9B476">
                <wp:simplePos x="0" y="0"/>
                <wp:positionH relativeFrom="column">
                  <wp:posOffset>2857500</wp:posOffset>
                </wp:positionH>
                <wp:positionV relativeFrom="paragraph">
                  <wp:posOffset>4800600</wp:posOffset>
                </wp:positionV>
                <wp:extent cx="1266825" cy="5715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266825" cy="571500"/>
                        </a:xfrm>
                        <a:prstGeom prst="rect">
                          <a:avLst/>
                        </a:prstGeom>
                        <a:solidFill>
                          <a:sysClr val="window" lastClr="FFFFFF"/>
                        </a:solidFill>
                        <a:ln w="6350">
                          <a:solidFill>
                            <a:prstClr val="black"/>
                          </a:solidFill>
                        </a:ln>
                      </wps:spPr>
                      <wps:txbx>
                        <w:txbxContent>
                          <w:p w:rsidR="008D34A0" w:rsidRDefault="008D34A0" w:rsidP="00F93231">
                            <w:r>
                              <w:t xml:space="preserve">Classification and Characterisation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F99BD" id="Text Box 11" o:spid="_x0000_s1031" type="#_x0000_t202" style="position:absolute;margin-left:225pt;margin-top:378pt;width:99.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" fillcolor="window" strokeweight=".5pt">
                <v:textbox>
                  <w:txbxContent>
                    <w:p w:rsidR="008D34A0" w:rsidRDefault="008D34A0" w:rsidP="00F93231">
                      <w:r>
                        <w:t xml:space="preserve">Classification and Characterisation </w:t>
                      </w:r>
                    </w:p>
                  </w:txbxContent>
                </v:textbox>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66432" behindDoc="0" locked="0" layoutInCell="1" allowOverlap="1" wp14:anchorId="2F4CF3AD" wp14:editId="362D0166">
                <wp:simplePos x="0" y="0"/>
                <wp:positionH relativeFrom="column">
                  <wp:posOffset>4686300</wp:posOffset>
                </wp:positionH>
                <wp:positionV relativeFrom="paragraph">
                  <wp:posOffset>4800600</wp:posOffset>
                </wp:positionV>
                <wp:extent cx="1028700" cy="5715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028700" cy="571500"/>
                        </a:xfrm>
                        <a:prstGeom prst="rect">
                          <a:avLst/>
                        </a:prstGeom>
                        <a:solidFill>
                          <a:sysClr val="window" lastClr="FFFFFF"/>
                        </a:solidFill>
                        <a:ln w="6350">
                          <a:solidFill>
                            <a:prstClr val="black"/>
                          </a:solidFill>
                        </a:ln>
                      </wps:spPr>
                      <wps:txbx>
                        <w:txbxContent>
                          <w:p w:rsidR="008D34A0" w:rsidRDefault="008D34A0" w:rsidP="00F93231">
                            <w:r>
                              <w:t>Scoring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CF3AD" id="Text Box 12" o:spid="_x0000_s1032" type="#_x0000_t202" style="position:absolute;margin-left:369pt;margin-top:378pt;width:81pt;height: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" fillcolor="window" strokeweight=".5pt">
                <v:textbox>
                  <w:txbxContent>
                    <w:p w:rsidR="008D34A0" w:rsidRDefault="008D34A0" w:rsidP="00F93231">
                      <w:r>
                        <w:t>Scoring System</w:t>
                      </w:r>
                    </w:p>
                  </w:txbxContent>
                </v:textbox>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62336" behindDoc="0" locked="0" layoutInCell="1" allowOverlap="1" wp14:anchorId="779B7FD1" wp14:editId="238365FF">
                <wp:simplePos x="0" y="0"/>
                <wp:positionH relativeFrom="column">
                  <wp:posOffset>1143000</wp:posOffset>
                </wp:positionH>
                <wp:positionV relativeFrom="paragraph">
                  <wp:posOffset>3314700</wp:posOffset>
                </wp:positionV>
                <wp:extent cx="2981325" cy="5810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981325" cy="581025"/>
                        </a:xfrm>
                        <a:prstGeom prst="rect">
                          <a:avLst/>
                        </a:prstGeom>
                        <a:solidFill>
                          <a:sysClr val="window" lastClr="FFFFFF"/>
                        </a:solidFill>
                        <a:ln w="6350">
                          <a:solidFill>
                            <a:prstClr val="black"/>
                          </a:solidFill>
                        </a:ln>
                      </wps:spPr>
                      <wps:txbx>
                        <w:txbxContent>
                          <w:p w:rsidR="008D34A0" w:rsidRDefault="008D34A0" w:rsidP="00F93231">
                            <w:r w:rsidRPr="00B868F6">
                              <w:t>Resource Use and Emissions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B7FD1" id="Text Box 7" o:spid="_x0000_s1033" type="#_x0000_t202" style="position:absolute;margin-left:90pt;margin-top:261pt;width:234.7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" fillcolor="window" strokeweight=".5pt">
                <v:textbox>
                  <w:txbxContent>
                    <w:p w:rsidR="008D34A0" w:rsidRDefault="008D34A0" w:rsidP="00F93231">
                      <w:r w:rsidRPr="00B868F6">
                        <w:t>Resource Use and Emissions Profile</w:t>
                      </w:r>
                    </w:p>
                  </w:txbxContent>
                </v:textbox>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63360" behindDoc="0" locked="0" layoutInCell="1" allowOverlap="1" wp14:anchorId="02EC9EDD" wp14:editId="4A9732BE">
                <wp:simplePos x="0" y="0"/>
                <wp:positionH relativeFrom="column">
                  <wp:posOffset>4686300</wp:posOffset>
                </wp:positionH>
                <wp:positionV relativeFrom="paragraph">
                  <wp:posOffset>3324225</wp:posOffset>
                </wp:positionV>
                <wp:extent cx="1028700" cy="5715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028700" cy="571500"/>
                        </a:xfrm>
                        <a:prstGeom prst="rect">
                          <a:avLst/>
                        </a:prstGeom>
                        <a:solidFill>
                          <a:sysClr val="window" lastClr="FFFFFF"/>
                        </a:solidFill>
                        <a:ln w="6350">
                          <a:solidFill>
                            <a:prstClr val="black"/>
                          </a:solidFill>
                        </a:ln>
                      </wps:spPr>
                      <wps:txbx>
                        <w:txbxContent>
                          <w:p w:rsidR="008D34A0" w:rsidRDefault="008D34A0" w:rsidP="00F93231">
                            <w:r>
                              <w:t>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C9EDD" id="Text Box 9" o:spid="_x0000_s1034" type="#_x0000_t202" style="position:absolute;margin-left:369pt;margin-top:261.75pt;width:81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" fillcolor="window" strokeweight=".5pt">
                <v:textbox>
                  <w:txbxContent>
                    <w:p w:rsidR="008D34A0" w:rsidRDefault="008D34A0" w:rsidP="00F93231">
                      <w:r>
                        <w:t>Survey</w:t>
                      </w:r>
                    </w:p>
                  </w:txbxContent>
                </v:textbox>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68480" behindDoc="0" locked="0" layoutInCell="1" allowOverlap="1" wp14:anchorId="25826E2E" wp14:editId="17C9AC50">
                <wp:simplePos x="0" y="0"/>
                <wp:positionH relativeFrom="column">
                  <wp:posOffset>1714500</wp:posOffset>
                </wp:positionH>
                <wp:positionV relativeFrom="paragraph">
                  <wp:posOffset>2409825</wp:posOffset>
                </wp:positionV>
                <wp:extent cx="0" cy="914400"/>
                <wp:effectExtent l="7620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9144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E90F14A" id="Straight Arrow Connector 17" o:spid="_x0000_s1026" type="#_x0000_t32" style="position:absolute;margin-left:135pt;margin-top:189.75pt;width:0;height:1in;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" strokecolor="#4472c4" strokeweight=".5pt">
                <v:stroke endarrow="block" joinstyle="miter"/>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69504" behindDoc="0" locked="0" layoutInCell="1" allowOverlap="1" wp14:anchorId="2EE4251F" wp14:editId="0170E89D">
                <wp:simplePos x="0" y="0"/>
                <wp:positionH relativeFrom="column">
                  <wp:posOffset>3543300</wp:posOffset>
                </wp:positionH>
                <wp:positionV relativeFrom="paragraph">
                  <wp:posOffset>2409825</wp:posOffset>
                </wp:positionV>
                <wp:extent cx="0" cy="91440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9144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B7D0285" id="Straight Arrow Connector 19" o:spid="_x0000_s1026" type="#_x0000_t32" style="position:absolute;margin-left:279pt;margin-top:189.75pt;width:0;height:1in;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" strokecolor="#4472c4" strokeweight=".5pt">
                <v:stroke endarrow="block" joinstyle="miter"/>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60288" behindDoc="0" locked="0" layoutInCell="1" allowOverlap="1" wp14:anchorId="6398740C" wp14:editId="6AA8E638">
                <wp:simplePos x="0" y="0"/>
                <wp:positionH relativeFrom="column">
                  <wp:posOffset>2857500</wp:posOffset>
                </wp:positionH>
                <wp:positionV relativeFrom="paragraph">
                  <wp:posOffset>1962150</wp:posOffset>
                </wp:positionV>
                <wp:extent cx="1257300" cy="4381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257300" cy="438150"/>
                        </a:xfrm>
                        <a:prstGeom prst="rect">
                          <a:avLst/>
                        </a:prstGeom>
                        <a:solidFill>
                          <a:sysClr val="window" lastClr="FFFFFF"/>
                        </a:solidFill>
                        <a:ln w="6350">
                          <a:solidFill>
                            <a:prstClr val="black"/>
                          </a:solidFill>
                        </a:ln>
                      </wps:spPr>
                      <wps:txbx>
                        <w:txbxContent>
                          <w:p w:rsidR="008D34A0" w:rsidRPr="00C9098F" w:rsidRDefault="008D34A0" w:rsidP="00F93231">
                            <w:pPr>
                              <w:rPr>
                                <w:b/>
                              </w:rPr>
                            </w:pPr>
                            <w:r w:rsidRPr="00C9098F">
                              <w:rPr>
                                <w:b/>
                                <w:color w:val="FF0000"/>
                              </w:rPr>
                              <w:t>Environmental</w:t>
                            </w:r>
                            <w:r w:rsidRPr="00C9098F">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8740C" id="_x0000_s1035" type="#_x0000_t202" style="position:absolute;margin-left:225pt;margin-top:154.5pt;width:99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" fillcolor="window" strokeweight=".5pt">
                <v:textbox>
                  <w:txbxContent>
                    <w:p w:rsidR="008D34A0" w:rsidRPr="00C9098F" w:rsidRDefault="008D34A0" w:rsidP="00F93231">
                      <w:pPr>
                        <w:rPr>
                          <w:b/>
                        </w:rPr>
                      </w:pPr>
                      <w:r w:rsidRPr="00C9098F">
                        <w:rPr>
                          <w:b/>
                          <w:color w:val="FF0000"/>
                        </w:rPr>
                        <w:t>Environmental</w:t>
                      </w:r>
                      <w:r w:rsidRPr="00C9098F">
                        <w:rPr>
                          <w:b/>
                        </w:rPr>
                        <w:t xml:space="preserve"> </w:t>
                      </w:r>
                    </w:p>
                  </w:txbxContent>
                </v:textbox>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61312" behindDoc="0" locked="0" layoutInCell="1" allowOverlap="1" wp14:anchorId="6C94F34B" wp14:editId="2946753D">
                <wp:simplePos x="0" y="0"/>
                <wp:positionH relativeFrom="column">
                  <wp:posOffset>4686300</wp:posOffset>
                </wp:positionH>
                <wp:positionV relativeFrom="paragraph">
                  <wp:posOffset>1952625</wp:posOffset>
                </wp:positionV>
                <wp:extent cx="1028700" cy="4572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028700" cy="457200"/>
                        </a:xfrm>
                        <a:prstGeom prst="rect">
                          <a:avLst/>
                        </a:prstGeom>
                        <a:solidFill>
                          <a:sysClr val="window" lastClr="FFFFFF"/>
                        </a:solidFill>
                        <a:ln w="6350">
                          <a:solidFill>
                            <a:prstClr val="black"/>
                          </a:solidFill>
                        </a:ln>
                      </wps:spPr>
                      <wps:txbx>
                        <w:txbxContent>
                          <w:p w:rsidR="008D34A0" w:rsidRPr="00C9098F" w:rsidRDefault="008D34A0" w:rsidP="00F93231">
                            <w:pPr>
                              <w:rPr>
                                <w:b/>
                                <w:color w:val="FF0000"/>
                              </w:rPr>
                            </w:pPr>
                            <w:r w:rsidRPr="00C9098F">
                              <w:rPr>
                                <w:b/>
                                <w:color w:val="FF0000"/>
                              </w:rPr>
                              <w:t>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4F34B" id="Text Box 3" o:spid="_x0000_s1036" type="#_x0000_t202" style="position:absolute;margin-left:369pt;margin-top:153.75pt;width:8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" fillcolor="window" strokeweight=".5pt">
                <v:textbox>
                  <w:txbxContent>
                    <w:p w:rsidR="008D34A0" w:rsidRPr="00C9098F" w:rsidRDefault="008D34A0" w:rsidP="00F93231">
                      <w:pPr>
                        <w:rPr>
                          <w:b/>
                          <w:color w:val="FF0000"/>
                        </w:rPr>
                      </w:pPr>
                      <w:r w:rsidRPr="00C9098F">
                        <w:rPr>
                          <w:b/>
                          <w:color w:val="FF0000"/>
                        </w:rPr>
                        <w:t>Social</w:t>
                      </w:r>
                    </w:p>
                  </w:txbxContent>
                </v:textbox>
              </v:shape>
            </w:pict>
          </mc:Fallback>
        </mc:AlternateContent>
      </w:r>
      <w:r w:rsidRPr="00207B36">
        <w:rPr>
          <w:rFonts w:ascii="Times New Roman" w:hAnsi="Times New Roman" w:cs="Times New Roman"/>
          <w:b/>
          <w:noProof/>
          <w:sz w:val="24"/>
          <w:szCs w:val="24"/>
          <w:lang w:eastAsia="en-GB"/>
        </w:rPr>
        <mc:AlternateContent>
          <mc:Choice Requires="wps">
            <w:drawing>
              <wp:anchor distT="0" distB="0" distL="114300" distR="114300" simplePos="0" relativeHeight="251659264" behindDoc="0" locked="0" layoutInCell="1" allowOverlap="1" wp14:anchorId="0F0C7BB5" wp14:editId="6CF27A5C">
                <wp:simplePos x="0" y="0"/>
                <wp:positionH relativeFrom="column">
                  <wp:posOffset>1143000</wp:posOffset>
                </wp:positionH>
                <wp:positionV relativeFrom="paragraph">
                  <wp:posOffset>1952625</wp:posOffset>
                </wp:positionV>
                <wp:extent cx="1143000" cy="4572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143000" cy="457200"/>
                        </a:xfrm>
                        <a:prstGeom prst="rect">
                          <a:avLst/>
                        </a:prstGeom>
                        <a:solidFill>
                          <a:sysClr val="window" lastClr="FFFFFF"/>
                        </a:solidFill>
                        <a:ln w="6350">
                          <a:solidFill>
                            <a:prstClr val="black"/>
                          </a:solidFill>
                        </a:ln>
                      </wps:spPr>
                      <wps:txbx>
                        <w:txbxContent>
                          <w:p w:rsidR="008D34A0" w:rsidRPr="00C9098F" w:rsidRDefault="008D34A0" w:rsidP="00F93231">
                            <w:pPr>
                              <w:rPr>
                                <w:b/>
                                <w:color w:val="FF0000"/>
                              </w:rPr>
                            </w:pPr>
                            <w:r w:rsidRPr="00C9098F">
                              <w:rPr>
                                <w:b/>
                                <w:color w:val="FF0000"/>
                              </w:rPr>
                              <w:t xml:space="preserve">Economical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C7BB5" id="Text Box 6" o:spid="_x0000_s1037" type="#_x0000_t202" style="position:absolute;margin-left:90pt;margin-top:153.75pt;width:90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" fillcolor="window" strokeweight=".5pt">
                <v:textbox>
                  <w:txbxContent>
                    <w:p w:rsidR="008D34A0" w:rsidRPr="00C9098F" w:rsidRDefault="008D34A0" w:rsidP="00F93231">
                      <w:pPr>
                        <w:rPr>
                          <w:b/>
                          <w:color w:val="FF0000"/>
                        </w:rPr>
                      </w:pPr>
                      <w:r w:rsidRPr="00C9098F">
                        <w:rPr>
                          <w:b/>
                          <w:color w:val="FF0000"/>
                        </w:rPr>
                        <w:t xml:space="preserve">Economical </w:t>
                      </w:r>
                    </w:p>
                  </w:txbxContent>
                </v:textbox>
              </v:shape>
            </w:pict>
          </mc:Fallback>
        </mc:AlternateContent>
      </w:r>
      <w:r w:rsidRPr="00207B36">
        <w:rPr>
          <w:rFonts w:ascii="Times New Roman" w:hAnsi="Times New Roman" w:cs="Times New Roman"/>
          <w:b/>
          <w:sz w:val="24"/>
          <w:szCs w:val="24"/>
        </w:rPr>
        <w:t xml:space="preserve">Methodology of Assessment </w:t>
      </w:r>
    </w:p>
    <w:p w:rsidR="00A770B0" w:rsidRPr="00207B36" w:rsidRDefault="00F93231" w:rsidP="00F93231">
      <w:pPr>
        <w:widowControl w:val="0"/>
        <w:kinsoku w:val="0"/>
        <w:spacing w:after="0" w:line="240" w:lineRule="auto"/>
        <w:rPr>
          <w:rFonts w:ascii="Times New Roman" w:eastAsiaTheme="minorEastAsia" w:hAnsi="Times New Roman" w:cs="Times New Roman"/>
          <w:sz w:val="24"/>
          <w:szCs w:val="24"/>
          <w:lang w:val="en-IE" w:eastAsia="en-IE"/>
        </w:rPr>
      </w:pPr>
      <w:r w:rsidRPr="00207B36">
        <w:rPr>
          <w:rFonts w:ascii="Times New Roman" w:hAnsi="Times New Roman" w:cs="Times New Roman"/>
          <w:b/>
          <w:i/>
          <w:sz w:val="24"/>
          <w:szCs w:val="24"/>
        </w:rPr>
        <w:t>Figure 2: The steps of assessment for economic, environment and social criteria</w:t>
      </w: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F93231" w:rsidRDefault="00F93231" w:rsidP="00A770B0">
      <w:pPr>
        <w:widowControl w:val="0"/>
        <w:kinsoku w:val="0"/>
        <w:spacing w:after="0" w:line="240" w:lineRule="auto"/>
        <w:rPr>
          <w:rFonts w:eastAsiaTheme="minorEastAsia" w:cs="Times New Roman"/>
          <w:b/>
          <w:sz w:val="24"/>
          <w:szCs w:val="24"/>
          <w:lang w:val="en-IE" w:eastAsia="en-IE"/>
        </w:rPr>
      </w:pPr>
    </w:p>
    <w:p w:rsidR="00A770B0" w:rsidRPr="00207B36" w:rsidRDefault="00A770B0" w:rsidP="00207B36">
      <w:pPr>
        <w:widowControl w:val="0"/>
        <w:kinsoku w:val="0"/>
        <w:spacing w:after="0" w:line="480" w:lineRule="auto"/>
        <w:rPr>
          <w:rFonts w:ascii="Times New Roman" w:eastAsiaTheme="minorEastAsia" w:hAnsi="Times New Roman" w:cs="Times New Roman"/>
          <w:b/>
          <w:i/>
          <w:sz w:val="24"/>
          <w:szCs w:val="24"/>
          <w:lang w:val="en-IE" w:eastAsia="en-IE"/>
        </w:rPr>
      </w:pPr>
      <w:r w:rsidRPr="00207B36">
        <w:rPr>
          <w:rFonts w:ascii="Times New Roman" w:eastAsiaTheme="minorEastAsia" w:hAnsi="Times New Roman" w:cs="Times New Roman"/>
          <w:b/>
          <w:i/>
          <w:sz w:val="24"/>
          <w:szCs w:val="24"/>
          <w:lang w:val="en-IE" w:eastAsia="en-IE"/>
        </w:rPr>
        <w:lastRenderedPageBreak/>
        <w:t>Economic Sustainability Evaluation steps:</w:t>
      </w:r>
    </w:p>
    <w:p w:rsidR="00A770B0" w:rsidRPr="00207B36" w:rsidRDefault="00A770B0" w:rsidP="00207B36">
      <w:pPr>
        <w:widowControl w:val="0"/>
        <w:kinsoku w:val="0"/>
        <w:spacing w:after="0" w:line="480" w:lineRule="auto"/>
        <w:rPr>
          <w:rFonts w:ascii="Times New Roman" w:eastAsiaTheme="minorEastAsia" w:hAnsi="Times New Roman" w:cs="Times New Roman"/>
          <w:b/>
          <w:sz w:val="24"/>
          <w:szCs w:val="24"/>
          <w:lang w:val="en-IE" w:eastAsia="en-IE"/>
        </w:rPr>
      </w:pPr>
    </w:p>
    <w:p w:rsidR="00A770B0" w:rsidRPr="00207B36" w:rsidRDefault="00A770B0" w:rsidP="00207B36">
      <w:pPr>
        <w:widowControl w:val="0"/>
        <w:kinsoku w:val="0"/>
        <w:spacing w:after="0" w:line="480" w:lineRule="auto"/>
        <w:rPr>
          <w:rFonts w:ascii="Times New Roman" w:eastAsiaTheme="minorEastAsia" w:hAnsi="Times New Roman" w:cs="Times New Roman"/>
          <w:sz w:val="24"/>
          <w:szCs w:val="24"/>
          <w:lang w:val="en-IE" w:eastAsia="en-IE"/>
        </w:rPr>
      </w:pPr>
      <w:r w:rsidRPr="00207B36">
        <w:rPr>
          <w:rFonts w:ascii="Times New Roman" w:eastAsiaTheme="minorEastAsia" w:hAnsi="Times New Roman" w:cs="Times New Roman"/>
          <w:sz w:val="24"/>
          <w:szCs w:val="24"/>
          <w:lang w:val="en-IE" w:eastAsia="en-IE"/>
        </w:rPr>
        <w:t>1)</w:t>
      </w:r>
      <w:r w:rsidRPr="00207B36">
        <w:rPr>
          <w:rFonts w:ascii="Times New Roman" w:eastAsiaTheme="minorEastAsia" w:hAnsi="Times New Roman" w:cs="Times New Roman"/>
          <w:sz w:val="24"/>
          <w:szCs w:val="24"/>
          <w:lang w:val="en-IE" w:eastAsia="en-IE"/>
        </w:rPr>
        <w:tab/>
        <w:t>Resource Use and Emission Profile of the value chain</w:t>
      </w:r>
    </w:p>
    <w:p w:rsidR="00A770B0" w:rsidRPr="00207B36" w:rsidRDefault="00A770B0" w:rsidP="00207B36">
      <w:pPr>
        <w:widowControl w:val="0"/>
        <w:kinsoku w:val="0"/>
        <w:spacing w:after="0" w:line="480" w:lineRule="auto"/>
        <w:rPr>
          <w:rFonts w:ascii="Times New Roman" w:eastAsiaTheme="minorEastAsia" w:hAnsi="Times New Roman" w:cs="Times New Roman"/>
          <w:sz w:val="24"/>
          <w:szCs w:val="24"/>
          <w:lang w:val="en-IE" w:eastAsia="en-IE"/>
        </w:rPr>
      </w:pPr>
      <w:r w:rsidRPr="00207B36">
        <w:rPr>
          <w:rFonts w:ascii="Times New Roman" w:eastAsiaTheme="minorEastAsia" w:hAnsi="Times New Roman" w:cs="Times New Roman"/>
          <w:sz w:val="24"/>
          <w:szCs w:val="24"/>
          <w:lang w:val="en-IE" w:eastAsia="en-IE"/>
        </w:rPr>
        <w:t>2)</w:t>
      </w:r>
      <w:r w:rsidRPr="00207B36">
        <w:rPr>
          <w:rFonts w:ascii="Times New Roman" w:eastAsiaTheme="minorEastAsia" w:hAnsi="Times New Roman" w:cs="Times New Roman"/>
          <w:sz w:val="24"/>
          <w:szCs w:val="24"/>
          <w:lang w:val="en-IE" w:eastAsia="en-IE"/>
        </w:rPr>
        <w:tab/>
        <w:t>Aggregating the sum-total of various resources used</w:t>
      </w:r>
    </w:p>
    <w:p w:rsidR="00A770B0" w:rsidRPr="00207B36" w:rsidRDefault="00A770B0" w:rsidP="00207B36">
      <w:pPr>
        <w:widowControl w:val="0"/>
        <w:kinsoku w:val="0"/>
        <w:spacing w:after="0" w:line="480" w:lineRule="auto"/>
        <w:rPr>
          <w:rFonts w:ascii="Times New Roman" w:eastAsiaTheme="minorEastAsia" w:hAnsi="Times New Roman" w:cs="Times New Roman"/>
          <w:sz w:val="24"/>
          <w:szCs w:val="24"/>
          <w:lang w:val="en-IE" w:eastAsia="en-IE"/>
        </w:rPr>
      </w:pPr>
      <w:r w:rsidRPr="00207B36">
        <w:rPr>
          <w:rFonts w:ascii="Times New Roman" w:eastAsiaTheme="minorEastAsia" w:hAnsi="Times New Roman" w:cs="Times New Roman"/>
          <w:sz w:val="24"/>
          <w:szCs w:val="24"/>
          <w:lang w:val="en-IE" w:eastAsia="en-IE"/>
        </w:rPr>
        <w:t>3)</w:t>
      </w:r>
      <w:r w:rsidRPr="00207B36">
        <w:rPr>
          <w:rFonts w:ascii="Times New Roman" w:eastAsiaTheme="minorEastAsia" w:hAnsi="Times New Roman" w:cs="Times New Roman"/>
          <w:sz w:val="24"/>
          <w:szCs w:val="24"/>
          <w:lang w:val="en-IE" w:eastAsia="en-IE"/>
        </w:rPr>
        <w:tab/>
        <w:t>Normalization and weightage depending on relative importance of various categories</w:t>
      </w:r>
    </w:p>
    <w:p w:rsidR="00A770B0" w:rsidRPr="00207B36" w:rsidRDefault="00A770B0" w:rsidP="00207B36">
      <w:pPr>
        <w:widowControl w:val="0"/>
        <w:kinsoku w:val="0"/>
        <w:spacing w:after="0" w:line="480" w:lineRule="auto"/>
        <w:rPr>
          <w:rFonts w:ascii="Times New Roman" w:eastAsiaTheme="minorEastAsia" w:hAnsi="Times New Roman" w:cs="Times New Roman"/>
          <w:sz w:val="24"/>
          <w:szCs w:val="24"/>
          <w:lang w:val="en-IE" w:eastAsia="en-IE"/>
        </w:rPr>
      </w:pPr>
    </w:p>
    <w:p w:rsidR="00A770B0" w:rsidRPr="00207B36" w:rsidRDefault="00A770B0" w:rsidP="00207B36">
      <w:pPr>
        <w:spacing w:line="480" w:lineRule="auto"/>
        <w:rPr>
          <w:rFonts w:ascii="Times New Roman" w:hAnsi="Times New Roman" w:cs="Times New Roman"/>
          <w:b/>
          <w:i/>
          <w:sz w:val="24"/>
          <w:szCs w:val="24"/>
          <w:lang w:val="en-US"/>
        </w:rPr>
      </w:pPr>
      <w:r w:rsidRPr="00207B36">
        <w:rPr>
          <w:rFonts w:ascii="Times New Roman" w:hAnsi="Times New Roman" w:cs="Times New Roman"/>
          <w:b/>
          <w:i/>
          <w:sz w:val="24"/>
          <w:szCs w:val="24"/>
          <w:lang w:val="en-US"/>
        </w:rPr>
        <w:t>Economic Sustainability Evaluation</w:t>
      </w:r>
    </w:p>
    <w:p w:rsidR="00A770B0" w:rsidRPr="00207B36" w:rsidRDefault="00A770B0"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Step 1: Resource Use and Emissions Profile</w:t>
      </w:r>
      <w:r w:rsidR="006B0BD9" w:rsidRPr="00207B36">
        <w:rPr>
          <w:rFonts w:ascii="Times New Roman" w:hAnsi="Times New Roman" w:cs="Times New Roman"/>
          <w:sz w:val="24"/>
          <w:szCs w:val="24"/>
          <w:lang w:val="en-US"/>
        </w:rPr>
        <w:t xml:space="preserve"> (European Commission, 2010)</w:t>
      </w:r>
    </w:p>
    <w:p w:rsidR="00A770B0" w:rsidRPr="00207B36" w:rsidRDefault="00A770B0"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As data collection is completed, a resource use and emissions profile is built i.e. an inventory of all inputs and output flows relative to the environmental footprint boundaries</w:t>
      </w:r>
      <w:r w:rsidR="003C3FAD" w:rsidRPr="00207B36">
        <w:rPr>
          <w:rFonts w:ascii="Times New Roman" w:hAnsi="Times New Roman" w:cs="Times New Roman"/>
          <w:sz w:val="24"/>
          <w:szCs w:val="24"/>
          <w:lang w:val="en-US"/>
        </w:rPr>
        <w:t xml:space="preserve"> (Table 2)</w:t>
      </w:r>
      <w:r w:rsidRPr="00207B36">
        <w:rPr>
          <w:rFonts w:ascii="Times New Roman" w:hAnsi="Times New Roman" w:cs="Times New Roman"/>
          <w:sz w:val="24"/>
          <w:szCs w:val="24"/>
          <w:lang w:val="en-US"/>
        </w:rPr>
        <w:t>.  An inventory (profile) of all material/energy resource inputs/outputs and emissions into air, water and soil for the product supply chain needs to be compiled to conduct the PEF assessment.</w:t>
      </w:r>
    </w:p>
    <w:p w:rsidR="00A770B0" w:rsidRPr="00207B36" w:rsidRDefault="00A770B0"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Ideally, the supply chain to be considered would depend on product-specific data (exact life cycle depicting the supply chain, use, and end-of-life stages as relevant). Therefore, directly collected, product-specific inventory data should be used wherever possible. However, generic data can be used if that is more representative or to save data collection efforts.  </w:t>
      </w:r>
    </w:p>
    <w:p w:rsidR="00E80246" w:rsidRPr="00207B36" w:rsidRDefault="00A770B0"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All complex/non-elementary flows in the Resource Use and Emissions Profile shall be transformed into elementary flows (</w:t>
      </w:r>
      <w:r w:rsidRPr="00207B36">
        <w:rPr>
          <w:rFonts w:ascii="Times New Roman" w:hAnsi="Times New Roman" w:cs="Times New Roman"/>
          <w:sz w:val="24"/>
          <w:szCs w:val="24"/>
        </w:rPr>
        <w:t xml:space="preserve">“material or energy entering the system being studied that has been drawn from the environment without previous human transformation, or material or energy leaving the system being studied that is released into the environment without subsequent human transformation”) </w:t>
      </w:r>
      <w:r w:rsidRPr="00207B36">
        <w:rPr>
          <w:rFonts w:ascii="Times New Roman" w:hAnsi="Times New Roman" w:cs="Times New Roman"/>
          <w:sz w:val="24"/>
          <w:szCs w:val="24"/>
          <w:lang w:val="en-US"/>
        </w:rPr>
        <w:t xml:space="preserve">to ensure comparability of PEF studies. For example, waste flows should not be reported as kg of household waste or hazardous waste, but </w:t>
      </w:r>
      <w:r w:rsidRPr="00207B36">
        <w:rPr>
          <w:rFonts w:ascii="Times New Roman" w:hAnsi="Times New Roman" w:cs="Times New Roman"/>
          <w:sz w:val="24"/>
          <w:szCs w:val="24"/>
          <w:lang w:val="en-US"/>
        </w:rPr>
        <w:lastRenderedPageBreak/>
        <w:t>separately into water, air and soil due to different environmental impacts of wastes discharged in different media</w:t>
      </w:r>
      <w:r w:rsidR="006B0BD9" w:rsidRPr="00207B36">
        <w:rPr>
          <w:rFonts w:ascii="Times New Roman" w:hAnsi="Times New Roman" w:cs="Times New Roman"/>
          <w:sz w:val="24"/>
          <w:szCs w:val="24"/>
          <w:lang w:val="en-US"/>
        </w:rPr>
        <w:t xml:space="preserve"> (European Commission, 2010)</w:t>
      </w:r>
      <w:r w:rsidRPr="00207B36">
        <w:rPr>
          <w:rFonts w:ascii="Times New Roman" w:hAnsi="Times New Roman" w:cs="Times New Roman"/>
          <w:sz w:val="24"/>
          <w:szCs w:val="24"/>
          <w:lang w:val="en-US"/>
        </w:rPr>
        <w:t xml:space="preserve">. </w:t>
      </w:r>
    </w:p>
    <w:p w:rsidR="00E80246" w:rsidRPr="00207B36" w:rsidRDefault="00E80246"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Table 2: Example of a Resource Use and Emission Profile</w:t>
      </w:r>
    </w:p>
    <w:p w:rsidR="00A770B0" w:rsidRPr="00207B36" w:rsidRDefault="00A770B0" w:rsidP="00207B36">
      <w:pPr>
        <w:widowControl w:val="0"/>
        <w:kinsoku w:val="0"/>
        <w:spacing w:after="0" w:line="480" w:lineRule="auto"/>
        <w:jc w:val="center"/>
        <w:rPr>
          <w:rFonts w:ascii="Times New Roman" w:eastAsiaTheme="minorEastAsia" w:hAnsi="Times New Roman" w:cs="Times New Roman"/>
          <w:b/>
          <w:i/>
          <w:sz w:val="24"/>
          <w:szCs w:val="24"/>
          <w:lang w:val="en-IE" w:eastAsia="en-IE"/>
        </w:rPr>
      </w:pPr>
      <w:r w:rsidRPr="00207B36">
        <w:rPr>
          <w:rFonts w:ascii="Times New Roman" w:eastAsiaTheme="minorEastAsia" w:hAnsi="Times New Roman" w:cs="Times New Roman"/>
          <w:b/>
          <w:i/>
          <w:noProof/>
          <w:sz w:val="24"/>
          <w:szCs w:val="24"/>
          <w:lang w:eastAsia="en-GB"/>
        </w:rPr>
        <w:drawing>
          <wp:inline distT="0" distB="0" distL="0" distR="0" wp14:anchorId="31429E46">
            <wp:extent cx="5901690" cy="5706110"/>
            <wp:effectExtent l="0" t="0" r="381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1690" cy="5706110"/>
                    </a:xfrm>
                    <a:prstGeom prst="rect">
                      <a:avLst/>
                    </a:prstGeom>
                    <a:noFill/>
                  </pic:spPr>
                </pic:pic>
              </a:graphicData>
            </a:graphic>
          </wp:inline>
        </w:drawing>
      </w:r>
    </w:p>
    <w:p w:rsidR="00A770B0" w:rsidRPr="00207B36" w:rsidRDefault="00A770B0" w:rsidP="00207B36">
      <w:pPr>
        <w:widowControl w:val="0"/>
        <w:kinsoku w:val="0"/>
        <w:spacing w:after="0" w:line="480" w:lineRule="auto"/>
        <w:jc w:val="center"/>
        <w:rPr>
          <w:rFonts w:ascii="Times New Roman" w:eastAsiaTheme="minorEastAsia" w:hAnsi="Times New Roman" w:cs="Times New Roman"/>
          <w:i/>
          <w:sz w:val="24"/>
          <w:szCs w:val="24"/>
          <w:lang w:val="en-IE" w:eastAsia="en-IE"/>
        </w:rPr>
      </w:pPr>
      <w:r w:rsidRPr="00207B36">
        <w:rPr>
          <w:rFonts w:ascii="Times New Roman" w:eastAsiaTheme="minorEastAsia" w:hAnsi="Times New Roman" w:cs="Times New Roman"/>
          <w:i/>
          <w:sz w:val="24"/>
          <w:szCs w:val="24"/>
          <w:lang w:val="en-IE" w:eastAsia="en-IE"/>
        </w:rPr>
        <w:t xml:space="preserve"> (Source: European Commission, 2010)</w:t>
      </w:r>
    </w:p>
    <w:p w:rsidR="00A770B0" w:rsidRPr="00207B36" w:rsidRDefault="00A770B0" w:rsidP="00207B36">
      <w:pPr>
        <w:widowControl w:val="0"/>
        <w:kinsoku w:val="0"/>
        <w:spacing w:after="0" w:line="480" w:lineRule="auto"/>
        <w:jc w:val="center"/>
        <w:rPr>
          <w:rFonts w:ascii="Times New Roman" w:eastAsiaTheme="minorEastAsia" w:hAnsi="Times New Roman" w:cs="Times New Roman"/>
          <w:i/>
          <w:sz w:val="24"/>
          <w:szCs w:val="24"/>
          <w:lang w:val="en-IE" w:eastAsia="en-IE"/>
        </w:rPr>
      </w:pPr>
    </w:p>
    <w:p w:rsidR="00207B36" w:rsidRDefault="00207B36" w:rsidP="00207B36">
      <w:pPr>
        <w:widowControl w:val="0"/>
        <w:kinsoku w:val="0"/>
        <w:spacing w:after="0" w:line="480" w:lineRule="auto"/>
        <w:rPr>
          <w:rFonts w:ascii="Times New Roman" w:eastAsiaTheme="minorEastAsia" w:hAnsi="Times New Roman" w:cs="Times New Roman"/>
          <w:bCs/>
          <w:sz w:val="24"/>
          <w:szCs w:val="24"/>
          <w:lang w:val="en-US" w:eastAsia="en-IE"/>
        </w:rPr>
      </w:pPr>
    </w:p>
    <w:p w:rsidR="00207B36" w:rsidRDefault="00207B36" w:rsidP="00207B36">
      <w:pPr>
        <w:widowControl w:val="0"/>
        <w:kinsoku w:val="0"/>
        <w:spacing w:after="0" w:line="480" w:lineRule="auto"/>
        <w:rPr>
          <w:rFonts w:ascii="Times New Roman" w:eastAsiaTheme="minorEastAsia" w:hAnsi="Times New Roman" w:cs="Times New Roman"/>
          <w:bCs/>
          <w:sz w:val="24"/>
          <w:szCs w:val="24"/>
          <w:lang w:val="en-US" w:eastAsia="en-IE"/>
        </w:rPr>
      </w:pPr>
    </w:p>
    <w:p w:rsidR="00207B36" w:rsidRDefault="00207B36" w:rsidP="00207B36">
      <w:pPr>
        <w:widowControl w:val="0"/>
        <w:kinsoku w:val="0"/>
        <w:spacing w:after="0" w:line="480" w:lineRule="auto"/>
        <w:rPr>
          <w:rFonts w:ascii="Times New Roman" w:eastAsiaTheme="minorEastAsia" w:hAnsi="Times New Roman" w:cs="Times New Roman"/>
          <w:bCs/>
          <w:sz w:val="24"/>
          <w:szCs w:val="24"/>
          <w:lang w:val="en-US" w:eastAsia="en-IE"/>
        </w:rPr>
      </w:pPr>
    </w:p>
    <w:p w:rsidR="00A770B0" w:rsidRPr="00207B36" w:rsidRDefault="00A770B0" w:rsidP="00207B36">
      <w:pPr>
        <w:widowControl w:val="0"/>
        <w:kinsoku w:val="0"/>
        <w:spacing w:after="0" w:line="480" w:lineRule="auto"/>
        <w:rPr>
          <w:rFonts w:ascii="Times New Roman" w:eastAsiaTheme="minorEastAsia" w:hAnsi="Times New Roman" w:cs="Times New Roman"/>
          <w:bCs/>
          <w:sz w:val="24"/>
          <w:szCs w:val="24"/>
          <w:lang w:val="en-US" w:eastAsia="en-IE"/>
        </w:rPr>
      </w:pPr>
      <w:r w:rsidRPr="00207B36">
        <w:rPr>
          <w:rFonts w:ascii="Times New Roman" w:eastAsiaTheme="minorEastAsia" w:hAnsi="Times New Roman" w:cs="Times New Roman"/>
          <w:bCs/>
          <w:sz w:val="24"/>
          <w:szCs w:val="24"/>
          <w:lang w:val="en-US" w:eastAsia="en-IE"/>
        </w:rPr>
        <w:lastRenderedPageBreak/>
        <w:t>Step 2: Aggregating the sum-total</w:t>
      </w:r>
    </w:p>
    <w:p w:rsidR="00A770B0" w:rsidRPr="00207B36" w:rsidRDefault="00A770B0" w:rsidP="00207B36">
      <w:pPr>
        <w:widowControl w:val="0"/>
        <w:kinsoku w:val="0"/>
        <w:spacing w:after="0" w:line="480" w:lineRule="auto"/>
        <w:rPr>
          <w:rFonts w:ascii="Times New Roman" w:eastAsiaTheme="minorEastAsia" w:hAnsi="Times New Roman" w:cs="Times New Roman"/>
          <w:bCs/>
          <w:sz w:val="24"/>
          <w:szCs w:val="24"/>
          <w:lang w:val="en-US" w:eastAsia="en-IE"/>
        </w:rPr>
      </w:pPr>
    </w:p>
    <w:p w:rsidR="00A770B0" w:rsidRPr="00207B36" w:rsidRDefault="00A770B0" w:rsidP="00207B36">
      <w:pPr>
        <w:widowControl w:val="0"/>
        <w:kinsoku w:val="0"/>
        <w:spacing w:after="0" w:line="480" w:lineRule="auto"/>
        <w:rPr>
          <w:rFonts w:ascii="Times New Roman" w:eastAsiaTheme="minorEastAsia" w:hAnsi="Times New Roman" w:cs="Times New Roman"/>
          <w:bCs/>
          <w:sz w:val="24"/>
          <w:szCs w:val="24"/>
          <w:lang w:val="en-US" w:eastAsia="en-IE"/>
        </w:rPr>
      </w:pPr>
      <w:r w:rsidRPr="00207B36">
        <w:rPr>
          <w:rFonts w:ascii="Times New Roman" w:eastAsiaTheme="minorEastAsia" w:hAnsi="Times New Roman" w:cs="Times New Roman"/>
          <w:bCs/>
          <w:sz w:val="24"/>
          <w:szCs w:val="24"/>
          <w:lang w:val="en-US" w:eastAsia="en-IE"/>
        </w:rPr>
        <w:t xml:space="preserve">For the economic sustainability evaluation, the electricity, fossil fuel etc </w:t>
      </w:r>
      <w:r w:rsidR="006D75BC" w:rsidRPr="00207B36">
        <w:rPr>
          <w:rFonts w:ascii="Times New Roman" w:eastAsiaTheme="minorEastAsia" w:hAnsi="Times New Roman" w:cs="Times New Roman"/>
          <w:bCs/>
          <w:sz w:val="24"/>
          <w:szCs w:val="24"/>
          <w:lang w:val="en-US" w:eastAsia="en-IE"/>
        </w:rPr>
        <w:t xml:space="preserve">used </w:t>
      </w:r>
      <w:r w:rsidRPr="00207B36">
        <w:rPr>
          <w:rFonts w:ascii="Times New Roman" w:eastAsiaTheme="minorEastAsia" w:hAnsi="Times New Roman" w:cs="Times New Roman"/>
          <w:bCs/>
          <w:sz w:val="24"/>
          <w:szCs w:val="24"/>
          <w:lang w:val="en-US" w:eastAsia="en-IE"/>
        </w:rPr>
        <w:t xml:space="preserve">across the categories can be </w:t>
      </w:r>
      <w:r w:rsidR="00E80246" w:rsidRPr="00207B36">
        <w:rPr>
          <w:rFonts w:ascii="Times New Roman" w:eastAsiaTheme="minorEastAsia" w:hAnsi="Times New Roman" w:cs="Times New Roman"/>
          <w:bCs/>
          <w:sz w:val="24"/>
          <w:szCs w:val="24"/>
          <w:lang w:val="en-US" w:eastAsia="en-IE"/>
        </w:rPr>
        <w:t>easily quantified and the sum</w:t>
      </w:r>
      <w:r w:rsidRPr="00207B36">
        <w:rPr>
          <w:rFonts w:ascii="Times New Roman" w:eastAsiaTheme="minorEastAsia" w:hAnsi="Times New Roman" w:cs="Times New Roman"/>
          <w:bCs/>
          <w:sz w:val="24"/>
          <w:szCs w:val="24"/>
          <w:lang w:val="en-US" w:eastAsia="en-IE"/>
        </w:rPr>
        <w:t xml:space="preserve"> total of </w:t>
      </w:r>
      <w:r w:rsidR="00E80246" w:rsidRPr="00207B36">
        <w:rPr>
          <w:rFonts w:ascii="Times New Roman" w:eastAsiaTheme="minorEastAsia" w:hAnsi="Times New Roman" w:cs="Times New Roman"/>
          <w:bCs/>
          <w:sz w:val="24"/>
          <w:szCs w:val="24"/>
          <w:lang w:val="en-US" w:eastAsia="en-IE"/>
        </w:rPr>
        <w:t xml:space="preserve">various resources used in a particular </w:t>
      </w:r>
      <w:r w:rsidRPr="00207B36">
        <w:rPr>
          <w:rFonts w:ascii="Times New Roman" w:eastAsiaTheme="minorEastAsia" w:hAnsi="Times New Roman" w:cs="Times New Roman"/>
          <w:bCs/>
          <w:sz w:val="24"/>
          <w:szCs w:val="24"/>
          <w:lang w:val="en-US" w:eastAsia="en-IE"/>
        </w:rPr>
        <w:t>bioeconomy value chain can be compared against the conventional value chain for a better judgement of the sustainability of the biochain</w:t>
      </w:r>
      <w:r w:rsidR="006B0BD9" w:rsidRPr="00207B36">
        <w:rPr>
          <w:rFonts w:ascii="Times New Roman" w:eastAsiaTheme="minorEastAsia" w:hAnsi="Times New Roman" w:cs="Times New Roman"/>
          <w:bCs/>
          <w:sz w:val="24"/>
          <w:szCs w:val="24"/>
          <w:lang w:val="en-US" w:eastAsia="en-IE"/>
        </w:rPr>
        <w:t xml:space="preserve"> (Current author)</w:t>
      </w:r>
      <w:r w:rsidRPr="00207B36">
        <w:rPr>
          <w:rFonts w:ascii="Times New Roman" w:eastAsiaTheme="minorEastAsia" w:hAnsi="Times New Roman" w:cs="Times New Roman"/>
          <w:bCs/>
          <w:sz w:val="24"/>
          <w:szCs w:val="24"/>
          <w:lang w:val="en-US" w:eastAsia="en-IE"/>
        </w:rPr>
        <w:t xml:space="preserve">. </w:t>
      </w:r>
    </w:p>
    <w:p w:rsidR="00A770B0" w:rsidRPr="00207B36" w:rsidRDefault="00A770B0" w:rsidP="00207B36">
      <w:pPr>
        <w:widowControl w:val="0"/>
        <w:kinsoku w:val="0"/>
        <w:spacing w:after="0" w:line="480" w:lineRule="auto"/>
        <w:jc w:val="center"/>
        <w:rPr>
          <w:rFonts w:ascii="Times New Roman" w:eastAsiaTheme="minorEastAsia" w:hAnsi="Times New Roman" w:cs="Times New Roman"/>
          <w:b/>
          <w:i/>
          <w:sz w:val="24"/>
          <w:szCs w:val="24"/>
          <w:lang w:val="en-IE" w:eastAsia="en-IE"/>
        </w:rPr>
      </w:pPr>
    </w:p>
    <w:p w:rsidR="0006238A" w:rsidRPr="00207B36" w:rsidRDefault="00DA37D6" w:rsidP="00207B36">
      <w:pPr>
        <w:widowControl w:val="0"/>
        <w:kinsoku w:val="0"/>
        <w:spacing w:after="0" w:line="480" w:lineRule="auto"/>
        <w:rPr>
          <w:rFonts w:ascii="Times New Roman" w:eastAsiaTheme="minorEastAsia" w:hAnsi="Times New Roman" w:cs="Times New Roman"/>
          <w:b/>
          <w:i/>
          <w:sz w:val="24"/>
          <w:szCs w:val="24"/>
          <w:lang w:val="en-IE" w:eastAsia="en-IE"/>
        </w:rPr>
      </w:pPr>
      <w:r w:rsidRPr="00207B36">
        <w:rPr>
          <w:rFonts w:ascii="Times New Roman" w:eastAsiaTheme="minorEastAsia" w:hAnsi="Times New Roman" w:cs="Times New Roman"/>
          <w:b/>
          <w:i/>
          <w:sz w:val="24"/>
          <w:szCs w:val="24"/>
          <w:lang w:val="en-IE" w:eastAsia="en-IE"/>
        </w:rPr>
        <w:t xml:space="preserve">Results and conclusions of certain selected </w:t>
      </w:r>
      <w:r w:rsidR="0006238A" w:rsidRPr="00207B36">
        <w:rPr>
          <w:rFonts w:ascii="Times New Roman" w:eastAsiaTheme="minorEastAsia" w:hAnsi="Times New Roman" w:cs="Times New Roman"/>
          <w:b/>
          <w:i/>
          <w:sz w:val="24"/>
          <w:szCs w:val="24"/>
          <w:lang w:val="en-IE" w:eastAsia="en-IE"/>
        </w:rPr>
        <w:t>Economic Sustainability</w:t>
      </w:r>
      <w:r w:rsidRPr="00207B36">
        <w:rPr>
          <w:rFonts w:ascii="Times New Roman" w:eastAsiaTheme="minorEastAsia" w:hAnsi="Times New Roman" w:cs="Times New Roman"/>
          <w:b/>
          <w:i/>
          <w:sz w:val="24"/>
          <w:szCs w:val="24"/>
          <w:lang w:val="en-IE" w:eastAsia="en-IE"/>
        </w:rPr>
        <w:t xml:space="preserve"> studies</w:t>
      </w:r>
    </w:p>
    <w:p w:rsidR="0006238A" w:rsidRPr="00207B36" w:rsidRDefault="0006238A" w:rsidP="00207B36">
      <w:pPr>
        <w:widowControl w:val="0"/>
        <w:kinsoku w:val="0"/>
        <w:spacing w:after="0" w:line="480" w:lineRule="auto"/>
        <w:rPr>
          <w:rFonts w:ascii="Times New Roman" w:eastAsiaTheme="minorEastAsia" w:hAnsi="Times New Roman" w:cs="Times New Roman"/>
          <w:sz w:val="24"/>
          <w:szCs w:val="24"/>
          <w:lang w:val="en-IE" w:eastAsia="en-IE"/>
        </w:rPr>
      </w:pPr>
    </w:p>
    <w:p w:rsidR="0006238A" w:rsidRPr="00207B36" w:rsidRDefault="0006238A" w:rsidP="00207B36">
      <w:pPr>
        <w:widowControl w:val="0"/>
        <w:kinsoku w:val="0"/>
        <w:spacing w:after="0"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Presently, the major challenge facing the agricultural sector globally is to increase profits while curbing environment degradation. This can be achieved by sustainable intensification (FAO, 2003).  The concept combines increased agricultural yields with increased production of biomass quantity and quality. In many regions of Africa, Latin America and Eastern Europe this yield difference within the same region averages up to 55% which can be reduced by better cropping practices (FAO, 2003). The problem is not environment suitability of the region for the particular crops but inefficient agricultural practices and financial/policy support (Yengoh and Ardö, 2014). The profits of biochemical industry are not affected under such restrictive policies but become more sustainable in in the long-run actually (Zhuang et al., 2015). Bioeconomy could help reduce the aforementioned yield gaps. The bioeconomy overlaps many different sectors of the economy and leads to sustainable economic growth (Pfau et al., 2014). Therefore, the development of bioeconomy should be holistic and sys</w:t>
      </w:r>
      <w:r w:rsidRPr="00207B36">
        <w:rPr>
          <w:rFonts w:ascii="Times New Roman" w:eastAsiaTheme="minorEastAsia" w:hAnsi="Times New Roman" w:cs="Times New Roman"/>
          <w:sz w:val="24"/>
          <w:szCs w:val="24"/>
          <w:lang w:val="en-US" w:eastAsia="en-IE"/>
        </w:rPr>
        <w:softHyphen/>
        <w:t xml:space="preserve">tematic. At the primary farm level, a better integration of the production of the 4 Fs (Food–Feed–Fibre–Fuel) and the integration of the agricultural sectors (Crop–Animal–Bioenergy), as in the example of a biogas plant, are recommended. Another example of holistic approaches to biomass supply chain is the avoidance of biomass losses along the different </w:t>
      </w:r>
      <w:r w:rsidRPr="00207B36">
        <w:rPr>
          <w:rFonts w:ascii="Times New Roman" w:eastAsiaTheme="minorEastAsia" w:hAnsi="Times New Roman" w:cs="Times New Roman"/>
          <w:sz w:val="24"/>
          <w:szCs w:val="24"/>
          <w:lang w:val="en-US" w:eastAsia="en-IE"/>
        </w:rPr>
        <w:lastRenderedPageBreak/>
        <w:t xml:space="preserve">production levels </w:t>
      </w:r>
      <w:r w:rsidR="00AC631F" w:rsidRPr="00207B36">
        <w:rPr>
          <w:rFonts w:ascii="Times New Roman" w:eastAsiaTheme="minorEastAsia" w:hAnsi="Times New Roman" w:cs="Times New Roman"/>
          <w:sz w:val="24"/>
          <w:szCs w:val="24"/>
          <w:lang w:val="en-US" w:eastAsia="en-IE"/>
        </w:rPr>
        <w:t>(</w:t>
      </w:r>
      <w:r w:rsidRPr="00207B36">
        <w:rPr>
          <w:rFonts w:ascii="Times New Roman" w:eastAsiaTheme="minorEastAsia" w:hAnsi="Times New Roman" w:cs="Times New Roman"/>
          <w:sz w:val="24"/>
          <w:szCs w:val="24"/>
          <w:lang w:val="en-US" w:eastAsia="en-IE"/>
        </w:rPr>
        <w:t>Production, Distribution and Storage</w:t>
      </w:r>
      <w:r w:rsidR="00AC631F" w:rsidRPr="00207B36">
        <w:rPr>
          <w:rFonts w:ascii="Times New Roman" w:eastAsiaTheme="minorEastAsia" w:hAnsi="Times New Roman" w:cs="Times New Roman"/>
          <w:sz w:val="24"/>
          <w:szCs w:val="24"/>
          <w:lang w:val="en-US" w:eastAsia="en-IE"/>
        </w:rPr>
        <w:t xml:space="preserve"> step</w:t>
      </w:r>
      <w:r w:rsidRPr="00207B36">
        <w:rPr>
          <w:rFonts w:ascii="Times New Roman" w:eastAsiaTheme="minorEastAsia" w:hAnsi="Times New Roman" w:cs="Times New Roman"/>
          <w:sz w:val="24"/>
          <w:szCs w:val="24"/>
          <w:lang w:val="en-US" w:eastAsia="en-IE"/>
        </w:rPr>
        <w:t>). Even before considering food which is wasted at con</w:t>
      </w:r>
      <w:r w:rsidRPr="00207B36">
        <w:rPr>
          <w:rFonts w:ascii="Times New Roman" w:eastAsiaTheme="minorEastAsia" w:hAnsi="Times New Roman" w:cs="Times New Roman"/>
          <w:sz w:val="24"/>
          <w:szCs w:val="24"/>
          <w:lang w:val="en-US" w:eastAsia="en-IE"/>
        </w:rPr>
        <w:softHyphen/>
        <w:t>sumer level, the global losses through the supply chain are estimated to be as much as 35% for cereals and more than 50% for easily perishable products such as roots, tubers, fruits and vegetable (FAO, 2003). The most important economic policy measures for reducing losses along the supply chain include better training of farmers, improved infra</w:t>
      </w:r>
      <w:r w:rsidRPr="00207B36">
        <w:rPr>
          <w:rFonts w:ascii="Times New Roman" w:eastAsiaTheme="minorEastAsia" w:hAnsi="Times New Roman" w:cs="Times New Roman"/>
          <w:sz w:val="24"/>
          <w:szCs w:val="24"/>
          <w:lang w:val="en-US" w:eastAsia="en-IE"/>
        </w:rPr>
        <w:softHyphen/>
        <w:t>structure to connect smallholders to markets, better mechaniza</w:t>
      </w:r>
      <w:r w:rsidRPr="00207B36">
        <w:rPr>
          <w:rFonts w:ascii="Times New Roman" w:eastAsiaTheme="minorEastAsia" w:hAnsi="Times New Roman" w:cs="Times New Roman"/>
          <w:sz w:val="24"/>
          <w:szCs w:val="24"/>
          <w:lang w:val="en-US" w:eastAsia="en-IE"/>
        </w:rPr>
        <w:softHyphen/>
        <w:t xml:space="preserve">tion, provision of sufficient financial incentives at the producer level and improved technologies supported by easier access to credits and loans (Aulakh and Regmi, 2013) but also raising consumer awareness on avoidance of food losses (particularly important in OECD countries such as Ireland). </w:t>
      </w:r>
      <w:r w:rsidR="00624AF7" w:rsidRPr="00207B36">
        <w:rPr>
          <w:rFonts w:ascii="Times New Roman" w:eastAsiaTheme="minorEastAsia" w:hAnsi="Times New Roman" w:cs="Times New Roman"/>
          <w:sz w:val="24"/>
          <w:szCs w:val="24"/>
          <w:lang w:val="en-US" w:eastAsia="en-IE"/>
        </w:rPr>
        <w:t>In general, in the production cycle, decentralized conversion processes that facilitate local sourcing, satellite pre-processing and reducing the long-distance transport should be explored as they are usually the most economically, environmentally and socially sustainable projects (Mangoyana and Smith, 2011).</w:t>
      </w:r>
    </w:p>
    <w:p w:rsidR="00A770B0" w:rsidRPr="00207B36" w:rsidRDefault="00A770B0"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A770B0" w:rsidRPr="00207B36" w:rsidRDefault="00A770B0"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A770B0" w:rsidRPr="00207B36" w:rsidRDefault="00A770B0"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A770B0" w:rsidRPr="00207B36" w:rsidRDefault="00A770B0"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207B36" w:rsidRDefault="00207B36"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207B36" w:rsidRDefault="00207B36"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207B36" w:rsidRDefault="00207B36"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207B36" w:rsidRDefault="00207B36"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207B36" w:rsidRDefault="00207B36"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207B36" w:rsidRDefault="00207B36"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207B36" w:rsidRDefault="00207B36"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207B36" w:rsidRDefault="00207B36"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103FB2" w:rsidRPr="00207B36" w:rsidRDefault="00A04905" w:rsidP="00207B36">
      <w:pPr>
        <w:widowControl w:val="0"/>
        <w:kinsoku w:val="0"/>
        <w:spacing w:after="0" w:line="480" w:lineRule="auto"/>
        <w:rPr>
          <w:rFonts w:ascii="Times New Roman" w:eastAsiaTheme="minorEastAsia" w:hAnsi="Times New Roman" w:cs="Times New Roman"/>
          <w:b/>
          <w:sz w:val="24"/>
          <w:szCs w:val="24"/>
          <w:lang w:val="en-US" w:eastAsia="en-IE"/>
        </w:rPr>
      </w:pPr>
      <w:r w:rsidRPr="00207B36">
        <w:rPr>
          <w:rFonts w:ascii="Times New Roman" w:eastAsiaTheme="minorEastAsia" w:hAnsi="Times New Roman" w:cs="Times New Roman"/>
          <w:b/>
          <w:sz w:val="24"/>
          <w:szCs w:val="24"/>
          <w:lang w:val="en-US" w:eastAsia="en-IE"/>
        </w:rPr>
        <w:lastRenderedPageBreak/>
        <w:t xml:space="preserve">Section 2: </w:t>
      </w:r>
      <w:r w:rsidR="00A770B0" w:rsidRPr="00207B36">
        <w:rPr>
          <w:rFonts w:ascii="Times New Roman" w:eastAsiaTheme="minorEastAsia" w:hAnsi="Times New Roman" w:cs="Times New Roman"/>
          <w:b/>
          <w:sz w:val="24"/>
          <w:szCs w:val="24"/>
          <w:lang w:val="en-US" w:eastAsia="en-IE"/>
        </w:rPr>
        <w:t>Environment sustainability</w:t>
      </w:r>
    </w:p>
    <w:p w:rsidR="00103FB2" w:rsidRPr="00207B36" w:rsidRDefault="00103FB2"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103FB2" w:rsidRPr="00207B36" w:rsidRDefault="00103FB2" w:rsidP="00207B36">
      <w:pPr>
        <w:widowControl w:val="0"/>
        <w:kinsoku w:val="0"/>
        <w:spacing w:after="0" w:line="480" w:lineRule="auto"/>
        <w:rPr>
          <w:rFonts w:ascii="Times New Roman" w:eastAsiaTheme="minorEastAsia" w:hAnsi="Times New Roman" w:cs="Times New Roman"/>
          <w:sz w:val="24"/>
          <w:szCs w:val="24"/>
          <w:lang w:val="en-IE" w:eastAsia="en-IE"/>
        </w:rPr>
      </w:pPr>
      <w:r w:rsidRPr="00207B36">
        <w:rPr>
          <w:rFonts w:ascii="Times New Roman" w:eastAsiaTheme="minorEastAsia" w:hAnsi="Times New Roman" w:cs="Times New Roman"/>
          <w:sz w:val="24"/>
          <w:szCs w:val="24"/>
          <w:lang w:val="en-IE" w:eastAsia="en-IE"/>
        </w:rPr>
        <w:t>“Environmental sustainability is the rates of renewable resource harvest, pollution creation, and non-renewable resource depletion that can be continued indefinitely. If they cannot be continued indefinitely then they are not sustainable.” (Daly, 1990).</w:t>
      </w:r>
    </w:p>
    <w:p w:rsidR="009A4B34" w:rsidRPr="00207B36" w:rsidRDefault="009A4B34" w:rsidP="00207B36">
      <w:pPr>
        <w:spacing w:line="480" w:lineRule="auto"/>
        <w:rPr>
          <w:rFonts w:ascii="Times New Roman" w:hAnsi="Times New Roman" w:cs="Times New Roman"/>
          <w:sz w:val="24"/>
          <w:szCs w:val="24"/>
        </w:rPr>
      </w:pPr>
    </w:p>
    <w:p w:rsidR="009D730B" w:rsidRPr="00207B36" w:rsidRDefault="009D730B" w:rsidP="00207B36">
      <w:pPr>
        <w:spacing w:line="480" w:lineRule="auto"/>
        <w:rPr>
          <w:rFonts w:ascii="Times New Roman" w:hAnsi="Times New Roman" w:cs="Times New Roman"/>
          <w:b/>
          <w:bCs/>
          <w:i/>
          <w:sz w:val="24"/>
          <w:szCs w:val="24"/>
          <w:lang w:val="en-US"/>
        </w:rPr>
      </w:pPr>
      <w:r w:rsidRPr="00207B36">
        <w:rPr>
          <w:rFonts w:ascii="Times New Roman" w:hAnsi="Times New Roman" w:cs="Times New Roman"/>
          <w:b/>
          <w:bCs/>
          <w:i/>
          <w:sz w:val="24"/>
          <w:szCs w:val="24"/>
          <w:lang w:val="en-US"/>
        </w:rPr>
        <w:t>Envir</w:t>
      </w:r>
      <w:r w:rsidR="00A770B0" w:rsidRPr="00207B36">
        <w:rPr>
          <w:rFonts w:ascii="Times New Roman" w:hAnsi="Times New Roman" w:cs="Times New Roman"/>
          <w:b/>
          <w:bCs/>
          <w:i/>
          <w:sz w:val="24"/>
          <w:szCs w:val="24"/>
          <w:lang w:val="en-US"/>
        </w:rPr>
        <w:t>onment Sustainability Criteria</w:t>
      </w:r>
      <w:r w:rsidR="00AE2F58" w:rsidRPr="00207B36">
        <w:rPr>
          <w:rFonts w:ascii="Times New Roman" w:hAnsi="Times New Roman" w:cs="Times New Roman"/>
          <w:b/>
          <w:bCs/>
          <w:i/>
          <w:sz w:val="24"/>
          <w:szCs w:val="24"/>
          <w:lang w:val="en-US"/>
        </w:rPr>
        <w:t xml:space="preserve"> development rationale</w:t>
      </w:r>
    </w:p>
    <w:p w:rsidR="009D730B" w:rsidRPr="00207B36" w:rsidRDefault="00FD58C6"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The f</w:t>
      </w:r>
      <w:r w:rsidR="009D730B" w:rsidRPr="00207B36">
        <w:rPr>
          <w:rFonts w:ascii="Times New Roman" w:hAnsi="Times New Roman" w:cs="Times New Roman"/>
          <w:sz w:val="24"/>
          <w:szCs w:val="24"/>
          <w:lang w:val="en-US"/>
        </w:rPr>
        <w:t xml:space="preserve">ollowing is the list of environment factors that are affected in at-least </w:t>
      </w:r>
      <w:r w:rsidR="004327DE" w:rsidRPr="00207B36">
        <w:rPr>
          <w:rFonts w:ascii="Times New Roman" w:hAnsi="Times New Roman" w:cs="Times New Roman"/>
          <w:sz w:val="24"/>
          <w:szCs w:val="24"/>
          <w:lang w:val="en-US"/>
        </w:rPr>
        <w:t>some way</w:t>
      </w:r>
      <w:r w:rsidR="009D730B" w:rsidRPr="00207B36">
        <w:rPr>
          <w:rFonts w:ascii="Times New Roman" w:hAnsi="Times New Roman" w:cs="Times New Roman"/>
          <w:sz w:val="24"/>
          <w:szCs w:val="24"/>
          <w:lang w:val="en-US"/>
        </w:rPr>
        <w:t xml:space="preserve"> by a value chain from acquisition to end of life discarding that a product undergoes in the cradle to grave PEF-LCA. All these criteria need to be accounted for in a holistic environment LCA assessment to estimate the approximate environment benefits and costs for any value chain.</w:t>
      </w:r>
    </w:p>
    <w:p w:rsidR="009D730B" w:rsidRPr="00207B36" w:rsidRDefault="00A60F3E"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Environmental footprint </w:t>
      </w:r>
      <w:r w:rsidR="009341C7" w:rsidRPr="00207B36">
        <w:rPr>
          <w:rFonts w:ascii="Times New Roman" w:hAnsi="Times New Roman" w:cs="Times New Roman"/>
          <w:sz w:val="24"/>
          <w:szCs w:val="24"/>
        </w:rPr>
        <w:t>(EF) relate</w:t>
      </w:r>
      <w:r w:rsidRPr="00207B36">
        <w:rPr>
          <w:rFonts w:ascii="Times New Roman" w:hAnsi="Times New Roman" w:cs="Times New Roman"/>
          <w:sz w:val="24"/>
          <w:szCs w:val="24"/>
        </w:rPr>
        <w:t xml:space="preserve"> to resource use, emissions of env</w:t>
      </w:r>
      <w:r w:rsidR="00010D0A" w:rsidRPr="00207B36">
        <w:rPr>
          <w:rFonts w:ascii="Times New Roman" w:hAnsi="Times New Roman" w:cs="Times New Roman"/>
          <w:sz w:val="24"/>
          <w:szCs w:val="24"/>
        </w:rPr>
        <w:t>ironmentally damaging materials</w:t>
      </w:r>
      <w:r w:rsidR="00F57EDB" w:rsidRPr="00207B36">
        <w:rPr>
          <w:rFonts w:ascii="Times New Roman" w:hAnsi="Times New Roman" w:cs="Times New Roman"/>
          <w:sz w:val="24"/>
          <w:szCs w:val="24"/>
        </w:rPr>
        <w:t xml:space="preserve"> (for example, </w:t>
      </w:r>
      <w:r w:rsidRPr="00207B36">
        <w:rPr>
          <w:rFonts w:ascii="Times New Roman" w:hAnsi="Times New Roman" w:cs="Times New Roman"/>
          <w:sz w:val="24"/>
          <w:szCs w:val="24"/>
        </w:rPr>
        <w:t>greenhouse gases and</w:t>
      </w:r>
      <w:r w:rsidR="00010D0A" w:rsidRPr="00207B36">
        <w:rPr>
          <w:rFonts w:ascii="Times New Roman" w:hAnsi="Times New Roman" w:cs="Times New Roman"/>
          <w:sz w:val="24"/>
          <w:szCs w:val="24"/>
        </w:rPr>
        <w:t xml:space="preserve"> toxic chemicals), which </w:t>
      </w:r>
      <w:r w:rsidR="00F57EDB" w:rsidRPr="00207B36">
        <w:rPr>
          <w:rFonts w:ascii="Times New Roman" w:hAnsi="Times New Roman" w:cs="Times New Roman"/>
          <w:sz w:val="24"/>
          <w:szCs w:val="24"/>
        </w:rPr>
        <w:t xml:space="preserve">could </w:t>
      </w:r>
      <w:r w:rsidRPr="00207B36">
        <w:rPr>
          <w:rFonts w:ascii="Times New Roman" w:hAnsi="Times New Roman" w:cs="Times New Roman"/>
          <w:sz w:val="24"/>
          <w:szCs w:val="24"/>
        </w:rPr>
        <w:t>affect human health. EF impact assessment methods use mo</w:t>
      </w:r>
      <w:r w:rsidR="00F57EDB" w:rsidRPr="00207B36">
        <w:rPr>
          <w:rFonts w:ascii="Times New Roman" w:hAnsi="Times New Roman" w:cs="Times New Roman"/>
          <w:sz w:val="24"/>
          <w:szCs w:val="24"/>
        </w:rPr>
        <w:t xml:space="preserve">dels for quantifying the </w:t>
      </w:r>
      <w:r w:rsidRPr="00207B36">
        <w:rPr>
          <w:rFonts w:ascii="Times New Roman" w:hAnsi="Times New Roman" w:cs="Times New Roman"/>
          <w:sz w:val="24"/>
          <w:szCs w:val="24"/>
        </w:rPr>
        <w:t>relationships between the material/energy inputs and emissions associated with the product life cycle (inventoried in the Resource Use and Emissions Profil</w:t>
      </w:r>
      <w:r w:rsidR="00F57EDB" w:rsidRPr="00207B36">
        <w:rPr>
          <w:rFonts w:ascii="Times New Roman" w:hAnsi="Times New Roman" w:cs="Times New Roman"/>
          <w:sz w:val="24"/>
          <w:szCs w:val="24"/>
        </w:rPr>
        <w:t>e)</w:t>
      </w:r>
      <w:r w:rsidRPr="00207B36">
        <w:rPr>
          <w:rFonts w:ascii="Times New Roman" w:hAnsi="Times New Roman" w:cs="Times New Roman"/>
          <w:sz w:val="24"/>
          <w:szCs w:val="24"/>
        </w:rPr>
        <w:t>. The p</w:t>
      </w:r>
      <w:r w:rsidR="00F57EDB" w:rsidRPr="00207B36">
        <w:rPr>
          <w:rFonts w:ascii="Times New Roman" w:hAnsi="Times New Roman" w:cs="Times New Roman"/>
          <w:sz w:val="24"/>
          <w:szCs w:val="24"/>
        </w:rPr>
        <w:t>urpose of EF impact assessment</w:t>
      </w:r>
      <w:r w:rsidRPr="00207B36">
        <w:rPr>
          <w:rFonts w:ascii="Times New Roman" w:hAnsi="Times New Roman" w:cs="Times New Roman"/>
          <w:sz w:val="24"/>
          <w:szCs w:val="24"/>
        </w:rPr>
        <w:t xml:space="preserve"> is to group and aggregate the inventoried Resource Use and Emissions Profile data according to the </w:t>
      </w:r>
      <w:r w:rsidR="00F57EDB" w:rsidRPr="00207B36">
        <w:rPr>
          <w:rFonts w:ascii="Times New Roman" w:hAnsi="Times New Roman" w:cs="Times New Roman"/>
          <w:sz w:val="24"/>
          <w:szCs w:val="24"/>
        </w:rPr>
        <w:t>respective contributions to an individual</w:t>
      </w:r>
      <w:r w:rsidRPr="00207B36">
        <w:rPr>
          <w:rFonts w:ascii="Times New Roman" w:hAnsi="Times New Roman" w:cs="Times New Roman"/>
          <w:sz w:val="24"/>
          <w:szCs w:val="24"/>
        </w:rPr>
        <w:t xml:space="preserve"> EF impact category</w:t>
      </w:r>
      <w:r w:rsidR="00F57EDB" w:rsidRPr="00207B36">
        <w:rPr>
          <w:rFonts w:ascii="Times New Roman" w:hAnsi="Times New Roman" w:cs="Times New Roman"/>
          <w:sz w:val="24"/>
          <w:szCs w:val="24"/>
        </w:rPr>
        <w:t xml:space="preserve"> that can be assessed independently</w:t>
      </w:r>
      <w:r w:rsidRPr="00207B36">
        <w:rPr>
          <w:rFonts w:ascii="Times New Roman" w:hAnsi="Times New Roman" w:cs="Times New Roman"/>
          <w:sz w:val="24"/>
          <w:szCs w:val="24"/>
        </w:rPr>
        <w:t xml:space="preserve">. This </w:t>
      </w:r>
      <w:r w:rsidR="00F57EDB" w:rsidRPr="00207B36">
        <w:rPr>
          <w:rFonts w:ascii="Times New Roman" w:hAnsi="Times New Roman" w:cs="Times New Roman"/>
          <w:sz w:val="24"/>
          <w:szCs w:val="24"/>
        </w:rPr>
        <w:t xml:space="preserve">allows </w:t>
      </w:r>
      <w:r w:rsidRPr="00207B36">
        <w:rPr>
          <w:rFonts w:ascii="Times New Roman" w:hAnsi="Times New Roman" w:cs="Times New Roman"/>
          <w:sz w:val="24"/>
          <w:szCs w:val="24"/>
        </w:rPr>
        <w:t>for interpreta</w:t>
      </w:r>
      <w:r w:rsidR="00F57EDB" w:rsidRPr="00207B36">
        <w:rPr>
          <w:rFonts w:ascii="Times New Roman" w:hAnsi="Times New Roman" w:cs="Times New Roman"/>
          <w:sz w:val="24"/>
          <w:szCs w:val="24"/>
        </w:rPr>
        <w:t>tion of the EF results according</w:t>
      </w:r>
      <w:r w:rsidRPr="00207B36">
        <w:rPr>
          <w:rFonts w:ascii="Times New Roman" w:hAnsi="Times New Roman" w:cs="Times New Roman"/>
          <w:sz w:val="24"/>
          <w:szCs w:val="24"/>
        </w:rPr>
        <w:t xml:space="preserve"> to the goals of the </w:t>
      </w:r>
      <w:r w:rsidR="00F57EDB" w:rsidRPr="00207B36">
        <w:rPr>
          <w:rFonts w:ascii="Times New Roman" w:hAnsi="Times New Roman" w:cs="Times New Roman"/>
          <w:sz w:val="24"/>
          <w:szCs w:val="24"/>
        </w:rPr>
        <w:t xml:space="preserve">respective project undertaken </w:t>
      </w:r>
      <w:r w:rsidRPr="00207B36">
        <w:rPr>
          <w:rFonts w:ascii="Times New Roman" w:hAnsi="Times New Roman" w:cs="Times New Roman"/>
          <w:sz w:val="24"/>
          <w:szCs w:val="24"/>
        </w:rPr>
        <w:t>(for example, identification of supply chain “hotspots” and “options” for improvement). The selection of EF impact categories should therefore be compr</w:t>
      </w:r>
      <w:r w:rsidR="00F57EDB" w:rsidRPr="00207B36">
        <w:rPr>
          <w:rFonts w:ascii="Times New Roman" w:hAnsi="Times New Roman" w:cs="Times New Roman"/>
          <w:sz w:val="24"/>
          <w:szCs w:val="24"/>
        </w:rPr>
        <w:t xml:space="preserve">ehensive and </w:t>
      </w:r>
      <w:r w:rsidRPr="00207B36">
        <w:rPr>
          <w:rFonts w:ascii="Times New Roman" w:hAnsi="Times New Roman" w:cs="Times New Roman"/>
          <w:sz w:val="24"/>
          <w:szCs w:val="24"/>
        </w:rPr>
        <w:t xml:space="preserve">cover all relevant environmental issues related to the </w:t>
      </w:r>
      <w:r w:rsidR="00F57EDB" w:rsidRPr="00207B36">
        <w:rPr>
          <w:rFonts w:ascii="Times New Roman" w:hAnsi="Times New Roman" w:cs="Times New Roman"/>
          <w:sz w:val="24"/>
          <w:szCs w:val="24"/>
        </w:rPr>
        <w:t>product supply chain considered in the project undertaken</w:t>
      </w:r>
      <w:r w:rsidRPr="00207B36">
        <w:rPr>
          <w:rFonts w:ascii="Times New Roman" w:hAnsi="Times New Roman" w:cs="Times New Roman"/>
          <w:sz w:val="24"/>
          <w:szCs w:val="24"/>
        </w:rPr>
        <w:t>.</w:t>
      </w:r>
    </w:p>
    <w:p w:rsidR="00207B36" w:rsidRDefault="00207B36" w:rsidP="00015C6B">
      <w:pPr>
        <w:rPr>
          <w:rFonts w:ascii="Times New Roman" w:hAnsi="Times New Roman" w:cs="Times New Roman"/>
          <w:sz w:val="24"/>
          <w:szCs w:val="24"/>
        </w:rPr>
      </w:pPr>
    </w:p>
    <w:p w:rsidR="00A60F3E" w:rsidRPr="00207B36" w:rsidRDefault="00AE2F58" w:rsidP="00015C6B">
      <w:pPr>
        <w:rPr>
          <w:rFonts w:ascii="Times New Roman" w:hAnsi="Times New Roman" w:cs="Times New Roman"/>
          <w:b/>
          <w:i/>
          <w:sz w:val="24"/>
          <w:szCs w:val="24"/>
        </w:rPr>
      </w:pPr>
      <w:r w:rsidRPr="00207B36">
        <w:rPr>
          <w:rFonts w:ascii="Times New Roman" w:hAnsi="Times New Roman" w:cs="Times New Roman"/>
          <w:b/>
          <w:i/>
          <w:sz w:val="24"/>
          <w:szCs w:val="24"/>
        </w:rPr>
        <w:lastRenderedPageBreak/>
        <w:t>Table 3: Environment Sustainability Criteria</w:t>
      </w:r>
    </w:p>
    <w:tbl>
      <w:tblPr>
        <w:tblW w:w="9549" w:type="dxa"/>
        <w:tblInd w:w="96" w:type="dxa"/>
        <w:tblLayout w:type="fixed"/>
        <w:tblCellMar>
          <w:left w:w="0" w:type="dxa"/>
          <w:right w:w="0" w:type="dxa"/>
        </w:tblCellMar>
        <w:tblLook w:val="0000" w:firstRow="0" w:lastRow="0" w:firstColumn="0" w:lastColumn="0" w:noHBand="0" w:noVBand="0"/>
      </w:tblPr>
      <w:tblGrid>
        <w:gridCol w:w="2178"/>
        <w:gridCol w:w="2410"/>
        <w:gridCol w:w="2835"/>
        <w:gridCol w:w="2126"/>
      </w:tblGrid>
      <w:tr w:rsidR="009D730B" w:rsidRPr="009D730B" w:rsidTr="00C56555">
        <w:trPr>
          <w:trHeight w:hRule="exact" w:val="552"/>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jc w:val="center"/>
              <w:rPr>
                <w:rFonts w:ascii="Calibri" w:eastAsiaTheme="minorEastAsia" w:hAnsi="Calibri" w:cs="Calibri"/>
                <w:b/>
                <w:bCs/>
                <w:spacing w:val="-4"/>
                <w:w w:val="105"/>
                <w:lang w:val="en-US" w:eastAsia="en-IE"/>
              </w:rPr>
            </w:pPr>
            <w:r w:rsidRPr="009D730B">
              <w:rPr>
                <w:rFonts w:ascii="Calibri" w:eastAsiaTheme="minorEastAsia" w:hAnsi="Calibri" w:cs="Calibri"/>
                <w:b/>
                <w:bCs/>
                <w:spacing w:val="-4"/>
                <w:w w:val="105"/>
                <w:lang w:val="en-US" w:eastAsia="en-IE"/>
              </w:rPr>
              <w:t>Impact Category</w:t>
            </w:r>
          </w:p>
          <w:p w:rsidR="009D730B" w:rsidRPr="009D730B" w:rsidRDefault="009D730B" w:rsidP="009D730B">
            <w:pPr>
              <w:widowControl w:val="0"/>
              <w:kinsoku w:val="0"/>
              <w:spacing w:after="0" w:line="240" w:lineRule="auto"/>
              <w:jc w:val="center"/>
              <w:rPr>
                <w:rFonts w:ascii="Calibri" w:eastAsiaTheme="minorEastAsia" w:hAnsi="Calibri" w:cs="Calibri"/>
                <w:b/>
                <w:bCs/>
                <w:spacing w:val="-4"/>
                <w:w w:val="105"/>
                <w:lang w:val="en-US" w:eastAsia="en-IE"/>
              </w:rPr>
            </w:pP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jc w:val="center"/>
              <w:rPr>
                <w:rFonts w:ascii="Calibri" w:eastAsiaTheme="minorEastAsia" w:hAnsi="Calibri" w:cs="Calibri"/>
                <w:b/>
                <w:bCs/>
                <w:w w:val="105"/>
                <w:lang w:val="en-US" w:eastAsia="en-IE"/>
              </w:rPr>
            </w:pPr>
            <w:r w:rsidRPr="009D730B">
              <w:rPr>
                <w:rFonts w:ascii="Calibri" w:eastAsiaTheme="minorEastAsia" w:hAnsi="Calibri" w:cs="Calibri"/>
                <w:b/>
                <w:bCs/>
                <w:spacing w:val="-4"/>
                <w:w w:val="105"/>
                <w:lang w:val="en-US" w:eastAsia="en-IE"/>
              </w:rPr>
              <w:t>Impact Assessment</w:t>
            </w:r>
            <w:r w:rsidRPr="009D730B">
              <w:rPr>
                <w:rFonts w:ascii="Calibri" w:eastAsiaTheme="minorEastAsia" w:hAnsi="Calibri" w:cs="Calibri"/>
                <w:b/>
                <w:bCs/>
                <w:spacing w:val="-4"/>
                <w:w w:val="105"/>
                <w:lang w:val="en-US" w:eastAsia="en-IE"/>
              </w:rPr>
              <w:br/>
            </w:r>
            <w:r w:rsidRPr="009D730B">
              <w:rPr>
                <w:rFonts w:ascii="Calibri" w:eastAsiaTheme="minorEastAsia" w:hAnsi="Calibri" w:cs="Calibri"/>
                <w:b/>
                <w:bCs/>
                <w:w w:val="105"/>
                <w:lang w:val="en-US" w:eastAsia="en-IE"/>
              </w:rPr>
              <w:t>Model</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right="234"/>
              <w:jc w:val="right"/>
              <w:rPr>
                <w:rFonts w:ascii="Calibri" w:eastAsiaTheme="minorEastAsia" w:hAnsi="Calibri" w:cs="Calibri"/>
                <w:b/>
                <w:bCs/>
                <w:spacing w:val="-4"/>
                <w:w w:val="105"/>
                <w:lang w:val="en-US" w:eastAsia="en-IE"/>
              </w:rPr>
            </w:pPr>
            <w:r w:rsidRPr="009D730B">
              <w:rPr>
                <w:rFonts w:ascii="Calibri" w:eastAsiaTheme="minorEastAsia" w:hAnsi="Calibri" w:cs="Calibri"/>
                <w:b/>
                <w:bCs/>
                <w:spacing w:val="-4"/>
                <w:w w:val="105"/>
                <w:lang w:val="en-US" w:eastAsia="en-IE"/>
              </w:rPr>
              <w:t>Impact Category indicators</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jc w:val="center"/>
              <w:rPr>
                <w:rFonts w:ascii="Calibri" w:eastAsiaTheme="minorEastAsia" w:hAnsi="Calibri" w:cs="Calibri"/>
                <w:b/>
                <w:bCs/>
                <w:w w:val="105"/>
                <w:lang w:val="en-US" w:eastAsia="en-IE"/>
              </w:rPr>
            </w:pPr>
            <w:r w:rsidRPr="009D730B">
              <w:rPr>
                <w:rFonts w:ascii="Calibri" w:eastAsiaTheme="minorEastAsia" w:hAnsi="Calibri" w:cs="Calibri"/>
                <w:b/>
                <w:bCs/>
                <w:w w:val="105"/>
                <w:lang w:val="en-US" w:eastAsia="en-IE"/>
              </w:rPr>
              <w:t>Source</w:t>
            </w:r>
          </w:p>
        </w:tc>
      </w:tr>
      <w:tr w:rsidR="009D730B" w:rsidRPr="009D730B" w:rsidTr="00C56555">
        <w:trPr>
          <w:trHeight w:hRule="exact" w:val="1296"/>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5"/>
              <w:rPr>
                <w:rFonts w:eastAsiaTheme="minorEastAsia" w:cs="Calibri"/>
                <w:sz w:val="24"/>
                <w:szCs w:val="24"/>
                <w:lang w:val="en-US" w:eastAsia="en-IE"/>
              </w:rPr>
            </w:pPr>
            <w:r w:rsidRPr="009D730B">
              <w:rPr>
                <w:rFonts w:eastAsiaTheme="minorEastAsia" w:cs="Calibri"/>
                <w:sz w:val="24"/>
                <w:szCs w:val="24"/>
                <w:lang w:val="en-US" w:eastAsia="en-IE"/>
              </w:rPr>
              <w:t>Climate Change</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44"/>
              <w:rPr>
                <w:rFonts w:eastAsiaTheme="minorEastAsia" w:cs="Calibri"/>
                <w:sz w:val="24"/>
                <w:szCs w:val="24"/>
                <w:lang w:val="en-US" w:eastAsia="en-IE"/>
              </w:rPr>
            </w:pPr>
            <w:r w:rsidRPr="009D730B">
              <w:rPr>
                <w:rFonts w:eastAsiaTheme="minorEastAsia" w:cs="Calibri"/>
                <w:sz w:val="24"/>
                <w:szCs w:val="24"/>
                <w:lang w:val="en-US" w:eastAsia="en-IE"/>
              </w:rPr>
              <w:t xml:space="preserve">Bern model - Global </w:t>
            </w:r>
            <w:r w:rsidRPr="009D730B">
              <w:rPr>
                <w:rFonts w:eastAsiaTheme="minorEastAsia" w:cs="Calibri"/>
                <w:spacing w:val="-5"/>
                <w:sz w:val="24"/>
                <w:szCs w:val="24"/>
                <w:lang w:val="en-US" w:eastAsia="en-IE"/>
              </w:rPr>
              <w:t xml:space="preserve">Warming Potentials (GWP) </w:t>
            </w:r>
            <w:r w:rsidRPr="009D730B">
              <w:rPr>
                <w:rFonts w:eastAsiaTheme="minorEastAsia" w:cs="Calibri"/>
                <w:sz w:val="24"/>
                <w:szCs w:val="24"/>
                <w:lang w:val="en-US" w:eastAsia="en-IE"/>
              </w:rPr>
              <w:t>over a 100 year time horizon.</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0"/>
              <w:rPr>
                <w:rFonts w:eastAsiaTheme="minorEastAsia" w:cs="Calibri"/>
                <w:sz w:val="24"/>
                <w:szCs w:val="24"/>
                <w:lang w:val="en-US" w:eastAsia="en-IE"/>
              </w:rPr>
            </w:pPr>
            <w:r w:rsidRPr="009D730B">
              <w:rPr>
                <w:rFonts w:eastAsiaTheme="minorEastAsia" w:cs="Calibri"/>
                <w:sz w:val="24"/>
                <w:szCs w:val="24"/>
                <w:lang w:val="en-US" w:eastAsia="en-IE"/>
              </w:rPr>
              <w:t>kg CO</w:t>
            </w:r>
            <w:r w:rsidRPr="009D730B">
              <w:rPr>
                <w:rFonts w:eastAsiaTheme="minorEastAsia" w:cs="Calibri"/>
                <w:w w:val="110"/>
                <w:sz w:val="24"/>
                <w:szCs w:val="24"/>
                <w:lang w:val="en-US" w:eastAsia="en-IE"/>
              </w:rPr>
              <w:t>2</w:t>
            </w:r>
            <w:r w:rsidRPr="009D730B">
              <w:rPr>
                <w:rFonts w:eastAsiaTheme="minorEastAsia" w:cs="Calibri"/>
                <w:sz w:val="24"/>
                <w:szCs w:val="24"/>
                <w:lang w:val="en-US" w:eastAsia="en-IE"/>
              </w:rPr>
              <w:t xml:space="preserve"> equivalent</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before="108" w:after="0" w:line="240" w:lineRule="auto"/>
              <w:ind w:left="108" w:right="576"/>
              <w:rPr>
                <w:rFonts w:eastAsiaTheme="minorEastAsia" w:cs="Calibri"/>
                <w:sz w:val="24"/>
                <w:szCs w:val="24"/>
                <w:lang w:val="en-US" w:eastAsia="en-IE"/>
              </w:rPr>
            </w:pPr>
            <w:r w:rsidRPr="009D730B">
              <w:rPr>
                <w:rFonts w:eastAsiaTheme="minorEastAsia" w:cs="Calibri"/>
                <w:spacing w:val="-7"/>
                <w:sz w:val="24"/>
                <w:szCs w:val="24"/>
                <w:lang w:val="en-US" w:eastAsia="en-IE"/>
              </w:rPr>
              <w:t xml:space="preserve">Intergovernmental </w:t>
            </w:r>
            <w:r w:rsidRPr="009D730B">
              <w:rPr>
                <w:rFonts w:eastAsiaTheme="minorEastAsia" w:cs="Calibri"/>
                <w:sz w:val="24"/>
                <w:szCs w:val="24"/>
                <w:lang w:val="en-US" w:eastAsia="en-IE"/>
              </w:rPr>
              <w:t>Panel on Climate Change, 2007</w:t>
            </w:r>
          </w:p>
        </w:tc>
      </w:tr>
      <w:tr w:rsidR="009D730B" w:rsidRPr="009D730B" w:rsidTr="00C56555">
        <w:trPr>
          <w:trHeight w:hRule="exact" w:val="1229"/>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5"/>
              <w:rPr>
                <w:rFonts w:eastAsiaTheme="minorEastAsia" w:cs="Calibri"/>
                <w:sz w:val="24"/>
                <w:szCs w:val="24"/>
                <w:lang w:val="en-US" w:eastAsia="en-IE"/>
              </w:rPr>
            </w:pPr>
            <w:r w:rsidRPr="009D730B">
              <w:rPr>
                <w:rFonts w:eastAsiaTheme="minorEastAsia" w:cs="Calibri"/>
                <w:sz w:val="24"/>
                <w:szCs w:val="24"/>
                <w:lang w:val="en-US" w:eastAsia="en-IE"/>
              </w:rPr>
              <w:t>Ozone Depletion</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288"/>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EDIP model based on the </w:t>
            </w:r>
            <w:r w:rsidRPr="009D730B">
              <w:rPr>
                <w:rFonts w:eastAsiaTheme="minorEastAsia" w:cs="Calibri"/>
                <w:sz w:val="24"/>
                <w:szCs w:val="24"/>
                <w:lang w:val="en-US" w:eastAsia="en-IE"/>
              </w:rPr>
              <w:t>ODPs of the World Meteorological</w:t>
            </w:r>
          </w:p>
          <w:p w:rsidR="009D730B" w:rsidRPr="009D730B" w:rsidRDefault="009D730B" w:rsidP="009D730B">
            <w:pPr>
              <w:widowControl w:val="0"/>
              <w:kinsoku w:val="0"/>
              <w:spacing w:after="0" w:line="240" w:lineRule="auto"/>
              <w:ind w:left="108" w:right="216"/>
              <w:rPr>
                <w:rFonts w:eastAsiaTheme="minorEastAsia" w:cs="Calibri"/>
                <w:sz w:val="24"/>
                <w:szCs w:val="24"/>
                <w:lang w:val="en-US" w:eastAsia="en-IE"/>
              </w:rPr>
            </w:pPr>
            <w:r w:rsidRPr="009D730B">
              <w:rPr>
                <w:rFonts w:eastAsiaTheme="minorEastAsia" w:cs="Calibri"/>
                <w:spacing w:val="-3"/>
                <w:sz w:val="24"/>
                <w:szCs w:val="24"/>
                <w:lang w:val="en-US" w:eastAsia="en-IE"/>
              </w:rPr>
              <w:t xml:space="preserve">Organization (WMO) over </w:t>
            </w:r>
            <w:r w:rsidRPr="009D730B">
              <w:rPr>
                <w:rFonts w:eastAsiaTheme="minorEastAsia" w:cs="Calibri"/>
                <w:sz w:val="24"/>
                <w:szCs w:val="24"/>
                <w:lang w:val="en-US" w:eastAsia="en-IE"/>
              </w:rPr>
              <w:t>an infinite time horizon.</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0"/>
              <w:rPr>
                <w:rFonts w:eastAsiaTheme="minorEastAsia" w:cs="Calibri"/>
                <w:sz w:val="24"/>
                <w:szCs w:val="24"/>
                <w:lang w:val="en-US" w:eastAsia="en-IE"/>
              </w:rPr>
            </w:pPr>
            <w:r w:rsidRPr="009D730B">
              <w:rPr>
                <w:rFonts w:eastAsiaTheme="minorEastAsia" w:cs="Calibri"/>
                <w:sz w:val="24"/>
                <w:szCs w:val="24"/>
                <w:lang w:val="en-US" w:eastAsia="en-IE"/>
              </w:rPr>
              <w:t>kg CFC-11 equivalent</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WMO, 1999</w:t>
            </w:r>
          </w:p>
        </w:tc>
      </w:tr>
      <w:tr w:rsidR="009D730B" w:rsidRPr="009D730B" w:rsidTr="00C56555">
        <w:trPr>
          <w:trHeight w:hRule="exact" w:val="764"/>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80"/>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Ecotoxicity for aquatic </w:t>
            </w:r>
            <w:r w:rsidRPr="009D730B">
              <w:rPr>
                <w:rFonts w:eastAsiaTheme="minorEastAsia" w:cs="Calibri"/>
                <w:sz w:val="24"/>
                <w:szCs w:val="24"/>
                <w:lang w:val="en-US" w:eastAsia="en-IE"/>
              </w:rPr>
              <w:t>fresh water</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USEtox model</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80"/>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CTUe (Comparative Toxic Unit for </w:t>
            </w:r>
            <w:r w:rsidRPr="009D730B">
              <w:rPr>
                <w:rFonts w:eastAsiaTheme="minorEastAsia" w:cs="Calibri"/>
                <w:sz w:val="24"/>
                <w:szCs w:val="24"/>
                <w:lang w:val="en-US" w:eastAsia="en-IE"/>
              </w:rPr>
              <w:t>ecosystems)</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Rosenbaum et al., 2008</w:t>
            </w:r>
          </w:p>
        </w:tc>
      </w:tr>
      <w:tr w:rsidR="009D730B" w:rsidRPr="009D730B" w:rsidTr="00C56555">
        <w:trPr>
          <w:trHeight w:hRule="exact" w:val="913"/>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648"/>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Human Toxicity - </w:t>
            </w:r>
            <w:r w:rsidRPr="009D730B">
              <w:rPr>
                <w:rFonts w:eastAsiaTheme="minorEastAsia" w:cs="Calibri"/>
                <w:sz w:val="24"/>
                <w:szCs w:val="24"/>
                <w:lang w:val="en-US" w:eastAsia="en-IE"/>
              </w:rPr>
              <w:t>cancer effects</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USEtox model</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44"/>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CTUh (Comparative Toxic Unit for </w:t>
            </w:r>
            <w:r w:rsidRPr="009D730B">
              <w:rPr>
                <w:rFonts w:eastAsiaTheme="minorEastAsia" w:cs="Calibri"/>
                <w:sz w:val="24"/>
                <w:szCs w:val="24"/>
                <w:lang w:val="en-US" w:eastAsia="en-IE"/>
              </w:rPr>
              <w:t>humans)</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Rosenbaum et al., 2008</w:t>
            </w:r>
          </w:p>
        </w:tc>
      </w:tr>
      <w:tr w:rsidR="009D730B" w:rsidRPr="009D730B" w:rsidTr="00C56555">
        <w:trPr>
          <w:trHeight w:hRule="exact" w:val="788"/>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44"/>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Human Toxicity – non- </w:t>
            </w:r>
            <w:r w:rsidRPr="009D730B">
              <w:rPr>
                <w:rFonts w:eastAsiaTheme="minorEastAsia" w:cs="Calibri"/>
                <w:sz w:val="24"/>
                <w:szCs w:val="24"/>
                <w:lang w:val="en-US" w:eastAsia="en-IE"/>
              </w:rPr>
              <w:t>cancer effects</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USEtox model</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44"/>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CTUh (Comparative Toxic Unit for </w:t>
            </w:r>
            <w:r w:rsidRPr="009D730B">
              <w:rPr>
                <w:rFonts w:eastAsiaTheme="minorEastAsia" w:cs="Calibri"/>
                <w:sz w:val="24"/>
                <w:szCs w:val="24"/>
                <w:lang w:val="en-US" w:eastAsia="en-IE"/>
              </w:rPr>
              <w:t>humans)</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Rosenbaum et al., 2008</w:t>
            </w:r>
          </w:p>
        </w:tc>
      </w:tr>
      <w:tr w:rsidR="009D730B" w:rsidRPr="009D730B" w:rsidTr="00C56555">
        <w:trPr>
          <w:trHeight w:hRule="exact" w:val="1020"/>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432"/>
              <w:rPr>
                <w:rFonts w:eastAsiaTheme="minorEastAsia" w:cs="Calibri"/>
                <w:sz w:val="24"/>
                <w:szCs w:val="24"/>
                <w:lang w:val="en-US" w:eastAsia="en-IE"/>
              </w:rPr>
            </w:pPr>
            <w:r w:rsidRPr="009D730B">
              <w:rPr>
                <w:rFonts w:eastAsiaTheme="minorEastAsia" w:cs="Calibri"/>
                <w:sz w:val="24"/>
                <w:szCs w:val="24"/>
                <w:lang w:val="en-US" w:eastAsia="en-IE"/>
              </w:rPr>
              <w:t xml:space="preserve">Particulate </w:t>
            </w:r>
            <w:r w:rsidRPr="009D730B">
              <w:rPr>
                <w:rFonts w:eastAsiaTheme="minorEastAsia" w:cs="Calibri"/>
                <w:spacing w:val="-5"/>
                <w:sz w:val="24"/>
                <w:szCs w:val="24"/>
                <w:lang w:val="en-US" w:eastAsia="en-IE"/>
              </w:rPr>
              <w:t xml:space="preserve">Matter/Respiratory </w:t>
            </w:r>
            <w:r w:rsidRPr="009D730B">
              <w:rPr>
                <w:rFonts w:eastAsiaTheme="minorEastAsia" w:cs="Calibri"/>
                <w:sz w:val="24"/>
                <w:szCs w:val="24"/>
                <w:lang w:val="en-US" w:eastAsia="en-IE"/>
              </w:rPr>
              <w:t>Inorganics</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RiskPoll model</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0"/>
              <w:rPr>
                <w:rFonts w:eastAsiaTheme="minorEastAsia" w:cs="Calibri"/>
                <w:sz w:val="24"/>
                <w:szCs w:val="24"/>
                <w:lang w:val="en-US" w:eastAsia="en-IE"/>
              </w:rPr>
            </w:pPr>
            <w:r w:rsidRPr="009D730B">
              <w:rPr>
                <w:rFonts w:eastAsiaTheme="minorEastAsia" w:cs="Calibri"/>
                <w:sz w:val="24"/>
                <w:szCs w:val="24"/>
                <w:lang w:val="en-US" w:eastAsia="en-IE"/>
              </w:rPr>
              <w:t>kg PM2.5 equivalent</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Humbert, 2007</w:t>
            </w:r>
          </w:p>
        </w:tc>
      </w:tr>
      <w:tr w:rsidR="009D730B" w:rsidRPr="009D730B" w:rsidTr="00C56555">
        <w:trPr>
          <w:trHeight w:hRule="exact" w:val="992"/>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252"/>
              <w:rPr>
                <w:rFonts w:eastAsiaTheme="minorEastAsia" w:cs="Calibri"/>
                <w:spacing w:val="-4"/>
                <w:sz w:val="24"/>
                <w:szCs w:val="24"/>
                <w:lang w:val="en-US" w:eastAsia="en-IE"/>
              </w:rPr>
            </w:pPr>
            <w:r w:rsidRPr="009D730B">
              <w:rPr>
                <w:rFonts w:eastAsiaTheme="minorEastAsia" w:cs="Calibri"/>
                <w:sz w:val="24"/>
                <w:szCs w:val="24"/>
                <w:lang w:val="en-US" w:eastAsia="en-IE"/>
              </w:rPr>
              <w:t xml:space="preserve">Ionising Radiation – </w:t>
            </w:r>
            <w:r w:rsidRPr="009D730B">
              <w:rPr>
                <w:rFonts w:eastAsiaTheme="minorEastAsia" w:cs="Calibri"/>
                <w:spacing w:val="-4"/>
                <w:sz w:val="24"/>
                <w:szCs w:val="24"/>
                <w:lang w:val="en-US" w:eastAsia="en-IE"/>
              </w:rPr>
              <w:t>human health effects</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648"/>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Human Health effect </w:t>
            </w:r>
            <w:r w:rsidRPr="009D730B">
              <w:rPr>
                <w:rFonts w:eastAsiaTheme="minorEastAsia" w:cs="Calibri"/>
                <w:sz w:val="24"/>
                <w:szCs w:val="24"/>
                <w:lang w:val="en-US" w:eastAsia="en-IE"/>
              </w:rPr>
              <w:t>model</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0"/>
              <w:rPr>
                <w:rFonts w:eastAsiaTheme="minorEastAsia" w:cs="Calibri"/>
                <w:spacing w:val="-4"/>
                <w:sz w:val="24"/>
                <w:szCs w:val="24"/>
                <w:lang w:val="en-US" w:eastAsia="en-IE"/>
              </w:rPr>
            </w:pPr>
            <w:r w:rsidRPr="009D730B">
              <w:rPr>
                <w:rFonts w:eastAsiaTheme="minorEastAsia" w:cs="Calibri"/>
                <w:spacing w:val="-4"/>
                <w:sz w:val="24"/>
                <w:szCs w:val="24"/>
                <w:lang w:val="en-US" w:eastAsia="en-IE"/>
              </w:rPr>
              <w:t>kg U</w:t>
            </w:r>
            <w:r w:rsidRPr="009D730B">
              <w:rPr>
                <w:rFonts w:eastAsiaTheme="minorEastAsia" w:cs="Calibri"/>
                <w:spacing w:val="-4"/>
                <w:w w:val="110"/>
                <w:sz w:val="24"/>
                <w:szCs w:val="24"/>
                <w:vertAlign w:val="superscript"/>
                <w:lang w:val="en-US" w:eastAsia="en-IE"/>
              </w:rPr>
              <w:t>235</w:t>
            </w:r>
            <w:r w:rsidRPr="009D730B">
              <w:rPr>
                <w:rFonts w:eastAsiaTheme="minorEastAsia" w:cs="Calibri"/>
                <w:spacing w:val="-4"/>
                <w:sz w:val="24"/>
                <w:szCs w:val="24"/>
                <w:lang w:val="en-US" w:eastAsia="en-IE"/>
              </w:rPr>
              <w:t xml:space="preserve"> equivalent (to air)</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Dreicer et al., 1995</w:t>
            </w:r>
          </w:p>
        </w:tc>
      </w:tr>
      <w:tr w:rsidR="009D730B" w:rsidRPr="009D730B" w:rsidTr="00C56555">
        <w:trPr>
          <w:trHeight w:hRule="exact" w:val="991"/>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216"/>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Photochemical Ozone </w:t>
            </w:r>
            <w:r w:rsidRPr="009D730B">
              <w:rPr>
                <w:rFonts w:eastAsiaTheme="minorEastAsia" w:cs="Calibri"/>
                <w:sz w:val="24"/>
                <w:szCs w:val="24"/>
                <w:lang w:val="en-US" w:eastAsia="en-IE"/>
              </w:rPr>
              <w:t>Formation</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LOTOS-EUROS model</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0"/>
              <w:rPr>
                <w:rFonts w:eastAsiaTheme="minorEastAsia" w:cs="Calibri"/>
                <w:sz w:val="24"/>
                <w:szCs w:val="24"/>
                <w:lang w:val="en-US" w:eastAsia="en-IE"/>
              </w:rPr>
            </w:pPr>
            <w:r w:rsidRPr="009D730B">
              <w:rPr>
                <w:rFonts w:eastAsiaTheme="minorEastAsia" w:cs="Calibri"/>
                <w:sz w:val="24"/>
                <w:szCs w:val="24"/>
                <w:lang w:val="en-US" w:eastAsia="en-IE"/>
              </w:rPr>
              <w:t>kg NMVOC equivalent</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44"/>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Van Zelm et al., 2008 as </w:t>
            </w:r>
            <w:r w:rsidRPr="009D730B">
              <w:rPr>
                <w:rFonts w:eastAsiaTheme="minorEastAsia" w:cs="Calibri"/>
                <w:sz w:val="24"/>
                <w:szCs w:val="24"/>
                <w:lang w:val="en-US" w:eastAsia="en-IE"/>
              </w:rPr>
              <w:t>applied in ReCiPe</w:t>
            </w:r>
          </w:p>
        </w:tc>
      </w:tr>
      <w:tr w:rsidR="009D730B" w:rsidRPr="009D730B" w:rsidTr="00C56555">
        <w:trPr>
          <w:trHeight w:hRule="exact" w:val="769"/>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5"/>
              <w:rPr>
                <w:rFonts w:eastAsiaTheme="minorEastAsia" w:cs="Calibri"/>
                <w:sz w:val="24"/>
                <w:szCs w:val="24"/>
                <w:lang w:val="en-US" w:eastAsia="en-IE"/>
              </w:rPr>
            </w:pPr>
            <w:r w:rsidRPr="009D730B">
              <w:rPr>
                <w:rFonts w:eastAsiaTheme="minorEastAsia" w:cs="Calibri"/>
                <w:sz w:val="24"/>
                <w:szCs w:val="24"/>
                <w:lang w:val="en-US" w:eastAsia="en-IE"/>
              </w:rPr>
              <w:t>Acidification</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252"/>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Accumulated Exceedance </w:t>
            </w:r>
            <w:r w:rsidRPr="009D730B">
              <w:rPr>
                <w:rFonts w:eastAsiaTheme="minorEastAsia" w:cs="Calibri"/>
                <w:sz w:val="24"/>
                <w:szCs w:val="24"/>
                <w:lang w:val="en-US" w:eastAsia="en-IE"/>
              </w:rPr>
              <w:t>model</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0"/>
              <w:rPr>
                <w:rFonts w:eastAsiaTheme="minorEastAsia" w:cs="Calibri"/>
                <w:sz w:val="24"/>
                <w:szCs w:val="24"/>
                <w:lang w:val="en-US" w:eastAsia="en-IE"/>
              </w:rPr>
            </w:pPr>
            <w:r w:rsidRPr="009D730B">
              <w:rPr>
                <w:rFonts w:eastAsiaTheme="minorEastAsia" w:cs="Calibri"/>
                <w:sz w:val="24"/>
                <w:szCs w:val="24"/>
                <w:lang w:val="en-US" w:eastAsia="en-IE"/>
              </w:rPr>
              <w:t>mol H+ eq</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Seppälä et al.,2006;</w:t>
            </w:r>
          </w:p>
        </w:tc>
      </w:tr>
      <w:tr w:rsidR="009D730B" w:rsidRPr="009D730B" w:rsidTr="00C56555">
        <w:trPr>
          <w:trHeight w:hRule="exact" w:val="722"/>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684"/>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Eutrophication – </w:t>
            </w:r>
            <w:r w:rsidRPr="009D730B">
              <w:rPr>
                <w:rFonts w:eastAsiaTheme="minorEastAsia" w:cs="Calibri"/>
                <w:sz w:val="24"/>
                <w:szCs w:val="24"/>
                <w:lang w:val="en-US" w:eastAsia="en-IE"/>
              </w:rPr>
              <w:t>terrestrial</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252"/>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Accumulated Exceedance </w:t>
            </w:r>
            <w:r w:rsidRPr="009D730B">
              <w:rPr>
                <w:rFonts w:eastAsiaTheme="minorEastAsia" w:cs="Calibri"/>
                <w:sz w:val="24"/>
                <w:szCs w:val="24"/>
                <w:lang w:val="en-US" w:eastAsia="en-IE"/>
              </w:rPr>
              <w:t>model</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0"/>
              <w:rPr>
                <w:rFonts w:eastAsiaTheme="minorEastAsia" w:cs="Calibri"/>
                <w:sz w:val="24"/>
                <w:szCs w:val="24"/>
                <w:lang w:val="en-US" w:eastAsia="en-IE"/>
              </w:rPr>
            </w:pPr>
            <w:r w:rsidRPr="009D730B">
              <w:rPr>
                <w:rFonts w:eastAsiaTheme="minorEastAsia" w:cs="Calibri"/>
                <w:sz w:val="24"/>
                <w:szCs w:val="24"/>
                <w:lang w:val="en-US" w:eastAsia="en-IE"/>
              </w:rPr>
              <w:t>mol N eq</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Seppälä et al.,2006;</w:t>
            </w:r>
          </w:p>
        </w:tc>
      </w:tr>
      <w:tr w:rsidR="009D730B" w:rsidRPr="009D730B" w:rsidTr="00C56555">
        <w:trPr>
          <w:trHeight w:hRule="exact" w:val="988"/>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684"/>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Eutrophication – </w:t>
            </w:r>
            <w:r w:rsidRPr="009D730B">
              <w:rPr>
                <w:rFonts w:eastAsiaTheme="minorEastAsia" w:cs="Calibri"/>
                <w:sz w:val="24"/>
                <w:szCs w:val="24"/>
                <w:lang w:val="en-US" w:eastAsia="en-IE"/>
              </w:rPr>
              <w:t>aquatic</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EUTREND model</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612"/>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fresh water: kg P equivalent </w:t>
            </w:r>
            <w:r w:rsidRPr="009D730B">
              <w:rPr>
                <w:rFonts w:eastAsiaTheme="minorEastAsia" w:cs="Calibri"/>
                <w:sz w:val="24"/>
                <w:szCs w:val="24"/>
                <w:lang w:val="en-US" w:eastAsia="en-IE"/>
              </w:rPr>
              <w:t>marine: kg N equivalent</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80"/>
              <w:rPr>
                <w:rFonts w:eastAsiaTheme="minorEastAsia" w:cs="Calibri"/>
                <w:spacing w:val="-4"/>
                <w:sz w:val="24"/>
                <w:szCs w:val="24"/>
                <w:lang w:val="en-US" w:eastAsia="en-IE"/>
              </w:rPr>
            </w:pPr>
            <w:r w:rsidRPr="009D730B">
              <w:rPr>
                <w:rFonts w:eastAsiaTheme="minorEastAsia" w:cs="Calibri"/>
                <w:sz w:val="24"/>
                <w:szCs w:val="24"/>
                <w:lang w:val="en-US" w:eastAsia="en-IE"/>
              </w:rPr>
              <w:t xml:space="preserve">Struijs et al., 2009 as </w:t>
            </w:r>
            <w:r w:rsidRPr="009D730B">
              <w:rPr>
                <w:rFonts w:eastAsiaTheme="minorEastAsia" w:cs="Calibri"/>
                <w:spacing w:val="-4"/>
                <w:sz w:val="24"/>
                <w:szCs w:val="24"/>
                <w:lang w:val="en-US" w:eastAsia="en-IE"/>
              </w:rPr>
              <w:t>implemented in ReCiPe</w:t>
            </w:r>
          </w:p>
        </w:tc>
      </w:tr>
      <w:tr w:rsidR="009D730B" w:rsidRPr="009D730B" w:rsidTr="00C56555">
        <w:trPr>
          <w:trHeight w:hRule="exact" w:val="865"/>
        </w:trPr>
        <w:tc>
          <w:tcPr>
            <w:tcW w:w="2178" w:type="dxa"/>
            <w:tcBorders>
              <w:top w:val="single" w:sz="5" w:space="0" w:color="auto"/>
              <w:left w:val="single" w:sz="5" w:space="0" w:color="auto"/>
              <w:bottom w:val="single" w:sz="5" w:space="0" w:color="auto"/>
              <w:right w:val="single" w:sz="5" w:space="0" w:color="auto"/>
            </w:tcBorders>
            <w:vAlign w:val="center"/>
          </w:tcPr>
          <w:p w:rsidR="009D730B" w:rsidRPr="00EB66DD" w:rsidRDefault="009D730B" w:rsidP="009D730B">
            <w:pPr>
              <w:widowControl w:val="0"/>
              <w:kinsoku w:val="0"/>
              <w:spacing w:after="0" w:line="240" w:lineRule="auto"/>
              <w:ind w:left="108" w:right="252"/>
              <w:rPr>
                <w:rFonts w:eastAsiaTheme="minorEastAsia" w:cs="Calibri"/>
                <w:sz w:val="24"/>
                <w:szCs w:val="24"/>
                <w:lang w:val="en-US" w:eastAsia="en-IE"/>
              </w:rPr>
            </w:pPr>
            <w:r w:rsidRPr="00EB66DD">
              <w:rPr>
                <w:rFonts w:eastAsiaTheme="minorEastAsia" w:cs="Calibri"/>
                <w:sz w:val="24"/>
                <w:szCs w:val="24"/>
                <w:lang w:val="en-US" w:eastAsia="en-IE"/>
              </w:rPr>
              <w:t>Water Footprint (Qualitatative)</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IE" w:eastAsia="en-IE"/>
              </w:rPr>
              <w:t>ISO14046</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540"/>
              <w:rPr>
                <w:rFonts w:eastAsiaTheme="minorEastAsia" w:cs="Calibri"/>
                <w:sz w:val="24"/>
                <w:szCs w:val="24"/>
                <w:lang w:val="en-US" w:eastAsia="en-IE"/>
              </w:rPr>
            </w:pPr>
            <w:r w:rsidRPr="009D730B">
              <w:rPr>
                <w:rFonts w:eastAsiaTheme="minorEastAsia" w:cs="Calibri"/>
                <w:sz w:val="24"/>
                <w:szCs w:val="24"/>
                <w:lang w:val="en-IE" w:eastAsia="en-IE"/>
              </w:rPr>
              <w:t xml:space="preserve"> water scarcity, eutrophication, toxicity etc</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576"/>
              <w:rPr>
                <w:rFonts w:eastAsiaTheme="minorEastAsia" w:cs="Calibri"/>
                <w:sz w:val="24"/>
                <w:szCs w:val="24"/>
                <w:lang w:val="en-US" w:eastAsia="en-IE"/>
              </w:rPr>
            </w:pPr>
            <w:r w:rsidRPr="009D730B">
              <w:rPr>
                <w:rFonts w:eastAsiaTheme="minorEastAsia" w:cs="Calibri"/>
                <w:sz w:val="24"/>
                <w:szCs w:val="24"/>
                <w:lang w:val="en" w:eastAsia="en-IE"/>
              </w:rPr>
              <w:t>Ridoutt, 2016</w:t>
            </w:r>
          </w:p>
        </w:tc>
      </w:tr>
      <w:tr w:rsidR="009D730B" w:rsidRPr="009D730B" w:rsidTr="00C56555">
        <w:trPr>
          <w:trHeight w:hRule="exact" w:val="689"/>
        </w:trPr>
        <w:tc>
          <w:tcPr>
            <w:tcW w:w="2178" w:type="dxa"/>
            <w:tcBorders>
              <w:top w:val="single" w:sz="5" w:space="0" w:color="auto"/>
              <w:left w:val="single" w:sz="5" w:space="0" w:color="auto"/>
              <w:bottom w:val="single" w:sz="5" w:space="0" w:color="auto"/>
              <w:right w:val="single" w:sz="5" w:space="0" w:color="auto"/>
            </w:tcBorders>
            <w:vAlign w:val="center"/>
          </w:tcPr>
          <w:p w:rsidR="009D730B" w:rsidRPr="00EB66DD" w:rsidRDefault="009D730B" w:rsidP="009D730B">
            <w:pPr>
              <w:widowControl w:val="0"/>
              <w:kinsoku w:val="0"/>
              <w:spacing w:after="0" w:line="240" w:lineRule="auto"/>
              <w:ind w:left="108" w:right="252"/>
              <w:rPr>
                <w:rFonts w:eastAsiaTheme="minorEastAsia" w:cs="Calibri"/>
                <w:sz w:val="24"/>
                <w:szCs w:val="24"/>
                <w:lang w:val="en-US" w:eastAsia="en-IE"/>
              </w:rPr>
            </w:pPr>
            <w:r w:rsidRPr="00EB66DD">
              <w:rPr>
                <w:rFonts w:eastAsiaTheme="minorEastAsia" w:cs="Calibri"/>
                <w:spacing w:val="-5"/>
                <w:sz w:val="24"/>
                <w:szCs w:val="24"/>
                <w:lang w:val="en-US" w:eastAsia="en-IE"/>
              </w:rPr>
              <w:t xml:space="preserve">Resource Depletion – </w:t>
            </w:r>
            <w:r w:rsidRPr="00EB66DD">
              <w:rPr>
                <w:rFonts w:eastAsiaTheme="minorEastAsia" w:cs="Calibri"/>
                <w:sz w:val="24"/>
                <w:szCs w:val="24"/>
                <w:lang w:val="en-US" w:eastAsia="en-IE"/>
              </w:rPr>
              <w:t>mineral, fossil</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CML2002 model</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631434" w:rsidP="009D730B">
            <w:pPr>
              <w:widowControl w:val="0"/>
              <w:kinsoku w:val="0"/>
              <w:spacing w:after="0" w:line="240" w:lineRule="auto"/>
              <w:ind w:left="110"/>
              <w:rPr>
                <w:rFonts w:eastAsiaTheme="minorEastAsia" w:cs="Calibri"/>
                <w:sz w:val="24"/>
                <w:szCs w:val="24"/>
                <w:lang w:val="en-US" w:eastAsia="en-IE"/>
              </w:rPr>
            </w:pPr>
            <w:r>
              <w:rPr>
                <w:rFonts w:eastAsiaTheme="minorEastAsia" w:cs="Calibri"/>
                <w:sz w:val="24"/>
                <w:szCs w:val="24"/>
                <w:lang w:val="en-US" w:eastAsia="en-IE"/>
              </w:rPr>
              <w:t>k</w:t>
            </w:r>
            <w:r w:rsidR="009D730B" w:rsidRPr="009D730B">
              <w:rPr>
                <w:rFonts w:eastAsiaTheme="minorEastAsia" w:cs="Calibri"/>
                <w:sz w:val="24"/>
                <w:szCs w:val="24"/>
                <w:lang w:val="en-US" w:eastAsia="en-IE"/>
              </w:rPr>
              <w:t>g antimony (Sb) equivalent</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6"/>
              <w:rPr>
                <w:rFonts w:eastAsiaTheme="minorEastAsia" w:cs="Calibri"/>
                <w:sz w:val="24"/>
                <w:szCs w:val="24"/>
                <w:lang w:val="en-US" w:eastAsia="en-IE"/>
              </w:rPr>
            </w:pPr>
            <w:r w:rsidRPr="009D730B">
              <w:rPr>
                <w:rFonts w:eastAsiaTheme="minorEastAsia" w:cs="Calibri"/>
                <w:sz w:val="24"/>
                <w:szCs w:val="24"/>
                <w:lang w:val="en-US" w:eastAsia="en-IE"/>
              </w:rPr>
              <w:t>van Oers et al., 2002</w:t>
            </w:r>
          </w:p>
        </w:tc>
      </w:tr>
      <w:tr w:rsidR="009D730B" w:rsidRPr="009D730B" w:rsidTr="00C56555">
        <w:trPr>
          <w:trHeight w:hRule="exact" w:val="616"/>
        </w:trPr>
        <w:tc>
          <w:tcPr>
            <w:tcW w:w="2178" w:type="dxa"/>
            <w:tcBorders>
              <w:top w:val="single" w:sz="5" w:space="0" w:color="auto"/>
              <w:left w:val="single" w:sz="5" w:space="0" w:color="auto"/>
              <w:bottom w:val="single" w:sz="5" w:space="0" w:color="auto"/>
              <w:right w:val="single" w:sz="5" w:space="0" w:color="auto"/>
            </w:tcBorders>
            <w:vAlign w:val="center"/>
          </w:tcPr>
          <w:p w:rsidR="009D730B" w:rsidRPr="00EB66DD" w:rsidRDefault="009D730B" w:rsidP="009D730B">
            <w:pPr>
              <w:widowControl w:val="0"/>
              <w:kinsoku w:val="0"/>
              <w:spacing w:after="0" w:line="240" w:lineRule="auto"/>
              <w:ind w:left="115"/>
              <w:rPr>
                <w:rFonts w:eastAsiaTheme="minorEastAsia" w:cs="Calibri"/>
                <w:sz w:val="24"/>
                <w:szCs w:val="24"/>
                <w:lang w:val="en-US" w:eastAsia="en-IE"/>
              </w:rPr>
            </w:pPr>
            <w:r w:rsidRPr="00EB66DD">
              <w:rPr>
                <w:rFonts w:eastAsiaTheme="minorEastAsia" w:cs="Calibri"/>
                <w:sz w:val="24"/>
                <w:szCs w:val="24"/>
                <w:lang w:val="en-US" w:eastAsia="en-IE"/>
              </w:rPr>
              <w:t>Land Transformation</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80"/>
              <w:rPr>
                <w:rFonts w:eastAsiaTheme="minorEastAsia" w:cs="Calibri"/>
                <w:sz w:val="24"/>
                <w:szCs w:val="24"/>
                <w:lang w:val="en-US" w:eastAsia="en-IE"/>
              </w:rPr>
            </w:pPr>
            <w:r w:rsidRPr="009D730B">
              <w:rPr>
                <w:rFonts w:eastAsiaTheme="minorEastAsia" w:cs="Calibri"/>
                <w:spacing w:val="-5"/>
                <w:sz w:val="24"/>
                <w:szCs w:val="24"/>
                <w:lang w:val="en-US" w:eastAsia="en-IE"/>
              </w:rPr>
              <w:t xml:space="preserve">Soil Organic Matter (SOM) </w:t>
            </w:r>
            <w:r w:rsidRPr="009D730B">
              <w:rPr>
                <w:rFonts w:eastAsiaTheme="minorEastAsia" w:cs="Calibri"/>
                <w:sz w:val="24"/>
                <w:szCs w:val="24"/>
                <w:lang w:val="en-US" w:eastAsia="en-IE"/>
              </w:rPr>
              <w:t>model</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631434" w:rsidP="009D730B">
            <w:pPr>
              <w:widowControl w:val="0"/>
              <w:kinsoku w:val="0"/>
              <w:spacing w:after="0" w:line="240" w:lineRule="auto"/>
              <w:ind w:left="110"/>
              <w:rPr>
                <w:rFonts w:eastAsiaTheme="minorEastAsia" w:cs="Calibri"/>
                <w:sz w:val="24"/>
                <w:szCs w:val="24"/>
                <w:lang w:val="en-US" w:eastAsia="en-IE"/>
              </w:rPr>
            </w:pPr>
            <w:r>
              <w:rPr>
                <w:rFonts w:eastAsiaTheme="minorEastAsia" w:cs="Calibri"/>
                <w:sz w:val="24"/>
                <w:szCs w:val="24"/>
                <w:lang w:val="en-US" w:eastAsia="en-IE"/>
              </w:rPr>
              <w:t>k</w:t>
            </w:r>
            <w:r w:rsidR="009D730B" w:rsidRPr="009D730B">
              <w:rPr>
                <w:rFonts w:eastAsiaTheme="minorEastAsia" w:cs="Calibri"/>
                <w:sz w:val="24"/>
                <w:szCs w:val="24"/>
                <w:lang w:val="en-US" w:eastAsia="en-IE"/>
              </w:rPr>
              <w:t>g (deficit)</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576"/>
              <w:rPr>
                <w:rFonts w:eastAsiaTheme="minorEastAsia" w:cs="Calibri"/>
                <w:sz w:val="24"/>
                <w:szCs w:val="24"/>
                <w:lang w:val="en-US" w:eastAsia="en-IE"/>
              </w:rPr>
            </w:pPr>
            <w:r w:rsidRPr="009D730B">
              <w:rPr>
                <w:rFonts w:eastAsiaTheme="minorEastAsia" w:cs="Calibri"/>
                <w:spacing w:val="-6"/>
                <w:sz w:val="24"/>
                <w:szCs w:val="24"/>
                <w:lang w:val="en-US" w:eastAsia="en-IE"/>
              </w:rPr>
              <w:t xml:space="preserve">Milà i Canals et al., </w:t>
            </w:r>
            <w:r w:rsidRPr="009D730B">
              <w:rPr>
                <w:rFonts w:eastAsiaTheme="minorEastAsia" w:cs="Calibri"/>
                <w:sz w:val="24"/>
                <w:szCs w:val="24"/>
                <w:lang w:val="en-US" w:eastAsia="en-IE"/>
              </w:rPr>
              <w:t>2007</w:t>
            </w:r>
          </w:p>
        </w:tc>
      </w:tr>
      <w:tr w:rsidR="009D730B" w:rsidRPr="009D730B" w:rsidTr="00C56555">
        <w:trPr>
          <w:trHeight w:hRule="exact" w:val="721"/>
        </w:trPr>
        <w:tc>
          <w:tcPr>
            <w:tcW w:w="2178" w:type="dxa"/>
            <w:tcBorders>
              <w:top w:val="single" w:sz="5" w:space="0" w:color="auto"/>
              <w:left w:val="single" w:sz="5" w:space="0" w:color="auto"/>
              <w:bottom w:val="single" w:sz="5" w:space="0" w:color="auto"/>
              <w:right w:val="single" w:sz="5" w:space="0" w:color="auto"/>
            </w:tcBorders>
            <w:vAlign w:val="center"/>
          </w:tcPr>
          <w:p w:rsidR="009D730B" w:rsidRPr="00EB66DD" w:rsidRDefault="009D730B" w:rsidP="009D730B">
            <w:pPr>
              <w:widowControl w:val="0"/>
              <w:kinsoku w:val="0"/>
              <w:spacing w:after="0" w:line="240" w:lineRule="auto"/>
              <w:ind w:left="115"/>
              <w:rPr>
                <w:rFonts w:eastAsiaTheme="minorEastAsia" w:cs="Calibri"/>
                <w:sz w:val="24"/>
                <w:szCs w:val="24"/>
                <w:lang w:val="en-US" w:eastAsia="en-IE"/>
              </w:rPr>
            </w:pPr>
            <w:r w:rsidRPr="00EB66DD">
              <w:rPr>
                <w:rFonts w:eastAsiaTheme="minorEastAsia" w:cs="Calibri"/>
                <w:sz w:val="24"/>
                <w:szCs w:val="24"/>
                <w:lang w:val="en-US" w:eastAsia="en-IE"/>
              </w:rPr>
              <w:lastRenderedPageBreak/>
              <w:t>Land Projection</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80"/>
              <w:rPr>
                <w:rFonts w:eastAsiaTheme="minorEastAsia" w:cs="Calibri"/>
                <w:spacing w:val="-5"/>
                <w:sz w:val="24"/>
                <w:szCs w:val="24"/>
                <w:lang w:val="en-US" w:eastAsia="en-IE"/>
              </w:rPr>
            </w:pPr>
            <w:r w:rsidRPr="009D730B">
              <w:rPr>
                <w:rFonts w:eastAsiaTheme="minorEastAsia" w:cs="Calibri"/>
                <w:spacing w:val="-5"/>
                <w:sz w:val="24"/>
                <w:szCs w:val="24"/>
                <w:lang w:val="en-IE" w:eastAsia="en-IE"/>
              </w:rPr>
              <w:t>ratio of crop-to-residual biomass</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0"/>
              <w:rPr>
                <w:rFonts w:eastAsiaTheme="minorEastAsia" w:cs="Calibri"/>
                <w:sz w:val="24"/>
                <w:szCs w:val="24"/>
                <w:lang w:val="en-US" w:eastAsia="en-IE"/>
              </w:rPr>
            </w:pPr>
            <w:r w:rsidRPr="009D730B">
              <w:rPr>
                <w:rFonts w:eastAsiaTheme="minorEastAsia" w:cs="Calibri"/>
                <w:sz w:val="24"/>
                <w:szCs w:val="24"/>
                <w:lang w:val="en-IE" w:eastAsia="en-IE"/>
              </w:rPr>
              <w:t>available quantities of lignocelluloses</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576"/>
              <w:rPr>
                <w:rFonts w:eastAsiaTheme="minorEastAsia" w:cs="Calibri"/>
                <w:spacing w:val="-6"/>
                <w:sz w:val="24"/>
                <w:szCs w:val="24"/>
                <w:lang w:val="en-US" w:eastAsia="en-IE"/>
              </w:rPr>
            </w:pPr>
            <w:r w:rsidRPr="009D730B">
              <w:rPr>
                <w:rFonts w:eastAsiaTheme="minorEastAsia" w:cs="Calibri"/>
                <w:spacing w:val="-6"/>
                <w:sz w:val="24"/>
                <w:szCs w:val="24"/>
                <w:lang w:val="en-IE" w:eastAsia="en-IE"/>
              </w:rPr>
              <w:t>Khoo et al, 2010</w:t>
            </w:r>
          </w:p>
        </w:tc>
      </w:tr>
      <w:tr w:rsidR="009D730B" w:rsidRPr="009D730B" w:rsidTr="00C56555">
        <w:trPr>
          <w:trHeight w:hRule="exact" w:val="1005"/>
        </w:trPr>
        <w:tc>
          <w:tcPr>
            <w:tcW w:w="2178" w:type="dxa"/>
            <w:tcBorders>
              <w:top w:val="single" w:sz="5" w:space="0" w:color="auto"/>
              <w:left w:val="single" w:sz="5" w:space="0" w:color="auto"/>
              <w:bottom w:val="single" w:sz="5" w:space="0" w:color="auto"/>
              <w:right w:val="single" w:sz="5" w:space="0" w:color="auto"/>
            </w:tcBorders>
            <w:vAlign w:val="center"/>
          </w:tcPr>
          <w:p w:rsidR="009D730B" w:rsidRPr="00EB66DD" w:rsidRDefault="009D730B" w:rsidP="009D730B">
            <w:pPr>
              <w:widowControl w:val="0"/>
              <w:kinsoku w:val="0"/>
              <w:spacing w:after="0" w:line="240" w:lineRule="auto"/>
              <w:ind w:left="115"/>
              <w:rPr>
                <w:rFonts w:eastAsiaTheme="minorEastAsia" w:cs="Calibri"/>
                <w:sz w:val="24"/>
                <w:szCs w:val="24"/>
                <w:lang w:val="en-US" w:eastAsia="en-IE"/>
              </w:rPr>
            </w:pPr>
            <w:r w:rsidRPr="00EB66DD">
              <w:rPr>
                <w:rFonts w:eastAsiaTheme="minorEastAsia" w:cs="Calibri"/>
                <w:sz w:val="24"/>
                <w:szCs w:val="24"/>
                <w:lang w:val="en-US" w:eastAsia="en-IE"/>
              </w:rPr>
              <w:t>Reduced Externality Cost (Qualitataive)</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80"/>
              <w:rPr>
                <w:rFonts w:eastAsiaTheme="minorEastAsia" w:cs="Calibri"/>
                <w:spacing w:val="-5"/>
                <w:sz w:val="24"/>
                <w:szCs w:val="24"/>
                <w:lang w:val="en-IE" w:eastAsia="en-IE"/>
              </w:rPr>
            </w:pPr>
            <w:r w:rsidRPr="009D730B">
              <w:rPr>
                <w:rFonts w:eastAsiaTheme="minorEastAsia" w:cs="Calibri"/>
                <w:spacing w:val="-5"/>
                <w:sz w:val="24"/>
                <w:szCs w:val="24"/>
                <w:lang w:val="en-IE" w:eastAsia="en-IE"/>
              </w:rPr>
              <w:t>reduced sedimentation or reduced flooding</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13B19" w:rsidP="009D730B">
            <w:pPr>
              <w:widowControl w:val="0"/>
              <w:kinsoku w:val="0"/>
              <w:spacing w:after="0" w:line="240" w:lineRule="auto"/>
              <w:ind w:left="110"/>
              <w:rPr>
                <w:rFonts w:eastAsiaTheme="minorEastAsia" w:cs="Calibri"/>
                <w:sz w:val="24"/>
                <w:szCs w:val="24"/>
                <w:lang w:val="en-IE" w:eastAsia="en-IE"/>
              </w:rPr>
            </w:pPr>
            <w:r>
              <w:rPr>
                <w:rFonts w:eastAsiaTheme="minorEastAsia" w:cs="Calibri"/>
                <w:sz w:val="24"/>
                <w:szCs w:val="24"/>
                <w:lang w:val="en-IE" w:eastAsia="en-IE"/>
              </w:rPr>
              <w:t>v</w:t>
            </w:r>
            <w:r w:rsidR="00AA0726">
              <w:rPr>
                <w:rFonts w:eastAsiaTheme="minorEastAsia" w:cs="Calibri"/>
                <w:sz w:val="24"/>
                <w:szCs w:val="24"/>
                <w:lang w:val="en-IE" w:eastAsia="en-IE"/>
              </w:rPr>
              <w:t>aries</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576"/>
              <w:rPr>
                <w:rFonts w:eastAsiaTheme="minorEastAsia" w:cs="Calibri"/>
                <w:spacing w:val="-6"/>
                <w:sz w:val="24"/>
                <w:szCs w:val="24"/>
                <w:lang w:val="en-US" w:eastAsia="en-IE"/>
              </w:rPr>
            </w:pPr>
            <w:r w:rsidRPr="009D730B">
              <w:rPr>
                <w:rFonts w:eastAsiaTheme="minorEastAsia" w:cs="Calibri"/>
                <w:spacing w:val="-6"/>
                <w:sz w:val="24"/>
                <w:szCs w:val="24"/>
                <w:lang w:val="en" w:eastAsia="en-IE"/>
              </w:rPr>
              <w:t>Daniels and Gilliman, 1996</w:t>
            </w:r>
          </w:p>
        </w:tc>
      </w:tr>
      <w:tr w:rsidR="009D730B" w:rsidRPr="009D730B" w:rsidTr="00C56555">
        <w:trPr>
          <w:trHeight w:hRule="exact" w:val="991"/>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5"/>
              <w:rPr>
                <w:rFonts w:eastAsiaTheme="minorEastAsia" w:cs="Calibri"/>
                <w:sz w:val="24"/>
                <w:szCs w:val="24"/>
                <w:lang w:val="en-US" w:eastAsia="en-IE"/>
              </w:rPr>
            </w:pPr>
            <w:r w:rsidRPr="009D730B">
              <w:rPr>
                <w:rFonts w:eastAsiaTheme="minorEastAsia" w:cs="Calibri"/>
                <w:sz w:val="24"/>
                <w:szCs w:val="24"/>
                <w:lang w:val="en-US" w:eastAsia="en-IE"/>
              </w:rPr>
              <w:t xml:space="preserve">Deforestation </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80"/>
              <w:rPr>
                <w:rFonts w:eastAsiaTheme="minorEastAsia" w:cs="Calibri"/>
                <w:spacing w:val="-5"/>
                <w:sz w:val="24"/>
                <w:szCs w:val="24"/>
                <w:lang w:val="en-IE" w:eastAsia="en-IE"/>
              </w:rPr>
            </w:pPr>
            <w:r w:rsidRPr="009D730B">
              <w:rPr>
                <w:rFonts w:eastAsiaTheme="minorEastAsia" w:cs="Calibri"/>
                <w:spacing w:val="-5"/>
                <w:sz w:val="24"/>
                <w:szCs w:val="24"/>
                <w:lang w:val="en-IE" w:eastAsia="en-IE"/>
              </w:rPr>
              <w:t>Forested area as compared to total land area</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13B19" w:rsidP="009D730B">
            <w:pPr>
              <w:widowControl w:val="0"/>
              <w:kinsoku w:val="0"/>
              <w:spacing w:after="0" w:line="240" w:lineRule="auto"/>
              <w:ind w:left="110"/>
              <w:rPr>
                <w:rFonts w:eastAsiaTheme="minorEastAsia" w:cs="Calibri"/>
                <w:sz w:val="24"/>
                <w:szCs w:val="24"/>
                <w:lang w:val="en" w:eastAsia="en-IE"/>
              </w:rPr>
            </w:pPr>
            <w:r>
              <w:rPr>
                <w:rFonts w:eastAsiaTheme="minorEastAsia" w:cs="Calibri"/>
                <w:sz w:val="24"/>
                <w:szCs w:val="24"/>
                <w:lang w:val="en" w:eastAsia="en-IE"/>
              </w:rPr>
              <w:t>h</w:t>
            </w:r>
            <w:r w:rsidR="009D730B" w:rsidRPr="009D730B">
              <w:rPr>
                <w:rFonts w:eastAsiaTheme="minorEastAsia" w:cs="Calibri"/>
                <w:sz w:val="24"/>
                <w:szCs w:val="24"/>
                <w:lang w:val="en" w:eastAsia="en-IE"/>
              </w:rPr>
              <w:t>ectare/acre/square km</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576"/>
              <w:rPr>
                <w:rFonts w:eastAsiaTheme="minorEastAsia" w:cs="Calibri"/>
                <w:spacing w:val="-6"/>
                <w:sz w:val="24"/>
                <w:szCs w:val="24"/>
                <w:lang w:val="en" w:eastAsia="en-IE"/>
              </w:rPr>
            </w:pPr>
            <w:r w:rsidRPr="009D730B">
              <w:rPr>
                <w:rFonts w:eastAsiaTheme="minorEastAsia" w:cs="Calibri"/>
                <w:spacing w:val="-6"/>
                <w:sz w:val="24"/>
                <w:szCs w:val="24"/>
                <w:lang w:val="en" w:eastAsia="en-IE"/>
              </w:rPr>
              <w:t>Millennium Declaration, UN 2010</w:t>
            </w:r>
          </w:p>
        </w:tc>
      </w:tr>
      <w:tr w:rsidR="009D730B" w:rsidRPr="009D730B" w:rsidTr="00C56555">
        <w:trPr>
          <w:trHeight w:hRule="exact" w:val="989"/>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5"/>
              <w:rPr>
                <w:rFonts w:eastAsiaTheme="minorEastAsia" w:cs="Calibri"/>
                <w:sz w:val="24"/>
                <w:szCs w:val="24"/>
                <w:lang w:val="en-US" w:eastAsia="en-IE"/>
              </w:rPr>
            </w:pPr>
            <w:r w:rsidRPr="009D730B">
              <w:rPr>
                <w:rFonts w:eastAsiaTheme="minorEastAsia" w:cs="Calibri"/>
                <w:sz w:val="24"/>
                <w:szCs w:val="24"/>
                <w:lang w:val="en-US" w:eastAsia="en-IE"/>
              </w:rPr>
              <w:t>Fish stocks</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80"/>
              <w:rPr>
                <w:rFonts w:eastAsiaTheme="minorEastAsia" w:cs="Calibri"/>
                <w:spacing w:val="-5"/>
                <w:sz w:val="24"/>
                <w:szCs w:val="24"/>
                <w:lang w:val="en-IE" w:eastAsia="en-IE"/>
              </w:rPr>
            </w:pPr>
            <w:r w:rsidRPr="009D730B">
              <w:rPr>
                <w:rFonts w:eastAsiaTheme="minorEastAsia" w:cs="Calibri"/>
                <w:spacing w:val="-5"/>
                <w:sz w:val="24"/>
                <w:szCs w:val="24"/>
                <w:lang w:val="en-IE" w:eastAsia="en-IE"/>
              </w:rPr>
              <w:t xml:space="preserve">Proportion of fish stocks within safe biological distance </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13B19" w:rsidP="009D730B">
            <w:pPr>
              <w:widowControl w:val="0"/>
              <w:kinsoku w:val="0"/>
              <w:spacing w:after="0" w:line="240" w:lineRule="auto"/>
              <w:ind w:left="110"/>
              <w:rPr>
                <w:rFonts w:eastAsiaTheme="minorEastAsia" w:cs="Calibri"/>
                <w:sz w:val="24"/>
                <w:szCs w:val="24"/>
                <w:lang w:val="en" w:eastAsia="en-IE"/>
              </w:rPr>
            </w:pPr>
            <w:r>
              <w:rPr>
                <w:rFonts w:eastAsiaTheme="minorEastAsia" w:cs="Calibri"/>
                <w:sz w:val="24"/>
                <w:szCs w:val="24"/>
                <w:lang w:val="en" w:eastAsia="en-IE"/>
              </w:rPr>
              <w:t>p</w:t>
            </w:r>
            <w:r w:rsidR="009D730B" w:rsidRPr="009D730B">
              <w:rPr>
                <w:rFonts w:eastAsiaTheme="minorEastAsia" w:cs="Calibri"/>
                <w:sz w:val="24"/>
                <w:szCs w:val="24"/>
                <w:lang w:val="en" w:eastAsia="en-IE"/>
              </w:rPr>
              <w:t>ercentage</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576"/>
              <w:rPr>
                <w:rFonts w:eastAsiaTheme="minorEastAsia" w:cs="Calibri"/>
                <w:spacing w:val="-6"/>
                <w:sz w:val="24"/>
                <w:szCs w:val="24"/>
                <w:lang w:val="en" w:eastAsia="en-IE"/>
              </w:rPr>
            </w:pPr>
            <w:r w:rsidRPr="009D730B">
              <w:rPr>
                <w:rFonts w:eastAsiaTheme="minorEastAsia" w:cs="Calibri"/>
                <w:spacing w:val="-6"/>
                <w:sz w:val="24"/>
                <w:szCs w:val="24"/>
                <w:lang w:val="en" w:eastAsia="en-IE"/>
              </w:rPr>
              <w:t>Millennium Declaration, UN 2010</w:t>
            </w:r>
          </w:p>
        </w:tc>
      </w:tr>
      <w:tr w:rsidR="009D730B" w:rsidRPr="009D730B" w:rsidTr="00C56555">
        <w:trPr>
          <w:trHeight w:hRule="exact" w:val="961"/>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5"/>
              <w:rPr>
                <w:rFonts w:eastAsiaTheme="minorEastAsia" w:cs="Calibri"/>
                <w:sz w:val="24"/>
                <w:szCs w:val="24"/>
                <w:lang w:val="en-US" w:eastAsia="en-IE"/>
              </w:rPr>
            </w:pPr>
            <w:r w:rsidRPr="009D730B">
              <w:rPr>
                <w:rFonts w:eastAsiaTheme="minorEastAsia" w:cs="Calibri"/>
                <w:sz w:val="24"/>
                <w:szCs w:val="24"/>
                <w:lang w:val="en-US" w:eastAsia="en-IE"/>
              </w:rPr>
              <w:t xml:space="preserve">Nitrogen Cycle (part of boundary with the phosphorous cycle) </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80"/>
              <w:rPr>
                <w:rFonts w:eastAsiaTheme="minorEastAsia" w:cs="Calibri"/>
                <w:spacing w:val="-5"/>
                <w:sz w:val="24"/>
                <w:szCs w:val="24"/>
                <w:lang w:val="en-IE" w:eastAsia="en-IE"/>
              </w:rPr>
            </w:pPr>
            <w:r w:rsidRPr="009D730B">
              <w:rPr>
                <w:rFonts w:eastAsiaTheme="minorEastAsia" w:cs="Calibri"/>
                <w:spacing w:val="-5"/>
                <w:sz w:val="24"/>
                <w:szCs w:val="24"/>
                <w:lang w:val="en-IE" w:eastAsia="en-IE"/>
              </w:rPr>
              <w:t>Amount of di-nitrogen removed from the atmosphere from human use</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0"/>
              <w:rPr>
                <w:rFonts w:eastAsiaTheme="minorEastAsia" w:cs="Calibri"/>
                <w:sz w:val="24"/>
                <w:szCs w:val="24"/>
                <w:lang w:val="en" w:eastAsia="en-IE"/>
              </w:rPr>
            </w:pPr>
            <w:r w:rsidRPr="009D730B">
              <w:rPr>
                <w:rFonts w:eastAsiaTheme="minorEastAsia" w:cs="Calibri"/>
                <w:sz w:val="24"/>
                <w:szCs w:val="24"/>
                <w:lang w:val="en" w:eastAsia="en-IE"/>
              </w:rPr>
              <w:t>tonnes</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576"/>
              <w:rPr>
                <w:rFonts w:eastAsiaTheme="minorEastAsia" w:cs="Calibri"/>
                <w:spacing w:val="-6"/>
                <w:sz w:val="24"/>
                <w:szCs w:val="24"/>
                <w:lang w:val="en" w:eastAsia="en-IE"/>
              </w:rPr>
            </w:pPr>
            <w:r w:rsidRPr="009D730B">
              <w:rPr>
                <w:rFonts w:eastAsiaTheme="minorEastAsia" w:cs="Calibri"/>
                <w:spacing w:val="-6"/>
                <w:sz w:val="24"/>
                <w:szCs w:val="24"/>
                <w:lang w:val="en" w:eastAsia="en-IE"/>
              </w:rPr>
              <w:t>Rockström et al., 2009</w:t>
            </w:r>
          </w:p>
        </w:tc>
      </w:tr>
      <w:tr w:rsidR="009D730B" w:rsidRPr="009D730B" w:rsidTr="00C56555">
        <w:trPr>
          <w:trHeight w:hRule="exact" w:val="580"/>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5"/>
              <w:rPr>
                <w:rFonts w:eastAsiaTheme="minorEastAsia" w:cs="Calibri"/>
                <w:color w:val="000000" w:themeColor="text1"/>
                <w:sz w:val="24"/>
                <w:szCs w:val="24"/>
                <w:lang w:val="en-US" w:eastAsia="en-IE"/>
              </w:rPr>
            </w:pPr>
            <w:r w:rsidRPr="009D730B">
              <w:rPr>
                <w:rFonts w:eastAsiaTheme="minorEastAsia" w:cs="Calibri"/>
                <w:color w:val="000000" w:themeColor="text1"/>
                <w:sz w:val="24"/>
                <w:szCs w:val="24"/>
                <w:lang w:val="en-US" w:eastAsia="en-IE"/>
              </w:rPr>
              <w:t xml:space="preserve">Soil erosion </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5A2AA2" w:rsidP="005A2AA2">
            <w:pPr>
              <w:widowControl w:val="0"/>
              <w:kinsoku w:val="0"/>
              <w:spacing w:after="0" w:line="240" w:lineRule="auto"/>
              <w:ind w:right="180"/>
              <w:rPr>
                <w:rFonts w:eastAsiaTheme="minorEastAsia" w:cs="Calibri"/>
                <w:color w:val="000000" w:themeColor="text1"/>
                <w:spacing w:val="-5"/>
                <w:sz w:val="24"/>
                <w:szCs w:val="24"/>
                <w:lang w:val="en-IE" w:eastAsia="en-IE"/>
              </w:rPr>
            </w:pPr>
            <w:r w:rsidRPr="005A2AA2">
              <w:rPr>
                <w:rFonts w:eastAsiaTheme="minorEastAsia" w:cs="Calibri"/>
                <w:color w:val="000000" w:themeColor="text1"/>
                <w:spacing w:val="-5"/>
                <w:sz w:val="24"/>
                <w:szCs w:val="24"/>
                <w:lang w:val="en-IE" w:eastAsia="en-IE"/>
              </w:rPr>
              <w:t xml:space="preserve"> </w:t>
            </w:r>
            <w:r w:rsidR="00AA0726">
              <w:rPr>
                <w:rFonts w:eastAsiaTheme="minorEastAsia" w:cs="Calibri"/>
                <w:color w:val="000000" w:themeColor="text1"/>
                <w:spacing w:val="-5"/>
                <w:sz w:val="24"/>
                <w:szCs w:val="24"/>
                <w:lang w:val="en-IE" w:eastAsia="en-IE"/>
              </w:rPr>
              <w:t xml:space="preserve"> </w:t>
            </w:r>
            <w:r w:rsidR="009D730B" w:rsidRPr="009D730B">
              <w:rPr>
                <w:rFonts w:eastAsiaTheme="minorEastAsia" w:cs="Calibri"/>
                <w:color w:val="000000" w:themeColor="text1"/>
                <w:spacing w:val="-5"/>
                <w:sz w:val="24"/>
                <w:szCs w:val="24"/>
                <w:lang w:val="en-IE" w:eastAsia="en-IE"/>
              </w:rPr>
              <w:t>per acre of cropland</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0"/>
              <w:rPr>
                <w:rFonts w:eastAsiaTheme="minorEastAsia" w:cs="Calibri"/>
                <w:color w:val="000000" w:themeColor="text1"/>
                <w:sz w:val="24"/>
                <w:szCs w:val="24"/>
                <w:lang w:val="en" w:eastAsia="en-IE"/>
              </w:rPr>
            </w:pPr>
            <w:r w:rsidRPr="009D730B">
              <w:rPr>
                <w:rFonts w:eastAsiaTheme="minorEastAsia" w:cs="Calibri"/>
                <w:color w:val="000000" w:themeColor="text1"/>
                <w:sz w:val="24"/>
                <w:szCs w:val="24"/>
                <w:lang w:val="en" w:eastAsia="en-IE"/>
              </w:rPr>
              <w:t>tonnes</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1E30F9" w:rsidP="009D730B">
            <w:pPr>
              <w:widowControl w:val="0"/>
              <w:kinsoku w:val="0"/>
              <w:spacing w:after="0" w:line="240" w:lineRule="auto"/>
              <w:ind w:left="108" w:right="576"/>
              <w:rPr>
                <w:rFonts w:eastAsiaTheme="minorEastAsia" w:cs="Calibri"/>
                <w:color w:val="000000" w:themeColor="text1"/>
                <w:spacing w:val="-6"/>
                <w:sz w:val="24"/>
                <w:szCs w:val="24"/>
                <w:lang w:val="en" w:eastAsia="en-IE"/>
              </w:rPr>
            </w:pPr>
            <w:r w:rsidRPr="005A2AA2">
              <w:rPr>
                <w:rFonts w:eastAsiaTheme="minorEastAsia" w:cs="Calibri"/>
                <w:color w:val="000000" w:themeColor="text1"/>
                <w:spacing w:val="-6"/>
                <w:sz w:val="24"/>
                <w:szCs w:val="24"/>
                <w:lang w:val="en" w:eastAsia="en-IE"/>
              </w:rPr>
              <w:t>Current author</w:t>
            </w:r>
          </w:p>
        </w:tc>
      </w:tr>
      <w:tr w:rsidR="009D730B" w:rsidRPr="009D730B" w:rsidTr="00C56555">
        <w:trPr>
          <w:trHeight w:hRule="exact" w:val="961"/>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5"/>
              <w:rPr>
                <w:rFonts w:eastAsiaTheme="minorEastAsia" w:cs="Calibri"/>
                <w:color w:val="000000" w:themeColor="text1"/>
                <w:sz w:val="24"/>
                <w:szCs w:val="24"/>
                <w:lang w:val="en-US" w:eastAsia="en-IE"/>
              </w:rPr>
            </w:pPr>
            <w:r w:rsidRPr="009D730B">
              <w:rPr>
                <w:rFonts w:eastAsiaTheme="minorEastAsia" w:cs="Calibri"/>
                <w:color w:val="000000" w:themeColor="text1"/>
                <w:sz w:val="24"/>
                <w:szCs w:val="24"/>
                <w:lang w:val="en-US" w:eastAsia="en-IE"/>
              </w:rPr>
              <w:t>Groundwater quality index</w:t>
            </w:r>
          </w:p>
        </w:tc>
        <w:tc>
          <w:tcPr>
            <w:tcW w:w="2410" w:type="dxa"/>
            <w:tcBorders>
              <w:top w:val="single" w:sz="5" w:space="0" w:color="auto"/>
              <w:left w:val="single" w:sz="5" w:space="0" w:color="auto"/>
              <w:bottom w:val="single" w:sz="5" w:space="0" w:color="auto"/>
              <w:right w:val="single" w:sz="5" w:space="0" w:color="auto"/>
            </w:tcBorders>
            <w:vAlign w:val="center"/>
          </w:tcPr>
          <w:p w:rsidR="001E30F9" w:rsidRPr="005A2AA2" w:rsidRDefault="001E30F9" w:rsidP="009D730B">
            <w:pPr>
              <w:widowControl w:val="0"/>
              <w:kinsoku w:val="0"/>
              <w:spacing w:after="0" w:line="240" w:lineRule="auto"/>
              <w:ind w:left="108" w:right="180"/>
              <w:rPr>
                <w:rFonts w:eastAsiaTheme="minorEastAsia" w:cs="Calibri"/>
                <w:color w:val="000000" w:themeColor="text1"/>
                <w:spacing w:val="-5"/>
                <w:sz w:val="24"/>
                <w:szCs w:val="24"/>
                <w:lang w:val="en-IE" w:eastAsia="en-IE"/>
              </w:rPr>
            </w:pPr>
          </w:p>
          <w:p w:rsidR="009D730B" w:rsidRPr="009D730B" w:rsidRDefault="005A2AA2" w:rsidP="005A2AA2">
            <w:pPr>
              <w:widowControl w:val="0"/>
              <w:kinsoku w:val="0"/>
              <w:spacing w:after="0" w:line="240" w:lineRule="auto"/>
              <w:ind w:right="180"/>
              <w:rPr>
                <w:rFonts w:eastAsiaTheme="minorEastAsia" w:cs="Calibri"/>
                <w:color w:val="000000" w:themeColor="text1"/>
                <w:spacing w:val="-5"/>
                <w:sz w:val="24"/>
                <w:szCs w:val="24"/>
                <w:lang w:val="en-IE" w:eastAsia="en-IE"/>
              </w:rPr>
            </w:pPr>
            <w:r w:rsidRPr="005A2AA2">
              <w:rPr>
                <w:rFonts w:eastAsiaTheme="minorEastAsia" w:cs="Calibri"/>
                <w:color w:val="000000" w:themeColor="text1"/>
                <w:spacing w:val="-5"/>
                <w:sz w:val="24"/>
                <w:szCs w:val="24"/>
                <w:lang w:val="en-IE" w:eastAsia="en-IE"/>
              </w:rPr>
              <w:t xml:space="preserve"> </w:t>
            </w:r>
            <w:r w:rsidR="00AA0726">
              <w:rPr>
                <w:rFonts w:eastAsiaTheme="minorEastAsia" w:cs="Calibri"/>
                <w:color w:val="000000" w:themeColor="text1"/>
                <w:spacing w:val="-5"/>
                <w:sz w:val="24"/>
                <w:szCs w:val="24"/>
                <w:lang w:val="en-IE" w:eastAsia="en-IE"/>
              </w:rPr>
              <w:t xml:space="preserve"> </w:t>
            </w:r>
            <w:r w:rsidR="001E30F9" w:rsidRPr="005A2AA2">
              <w:rPr>
                <w:rFonts w:eastAsiaTheme="minorEastAsia" w:cs="Calibri"/>
                <w:color w:val="000000" w:themeColor="text1"/>
                <w:spacing w:val="-5"/>
                <w:sz w:val="24"/>
                <w:szCs w:val="24"/>
                <w:lang w:val="en-IE" w:eastAsia="en-IE"/>
              </w:rPr>
              <w:t>s</w:t>
            </w:r>
            <w:r w:rsidR="009D730B" w:rsidRPr="009D730B">
              <w:rPr>
                <w:rFonts w:eastAsiaTheme="minorEastAsia" w:cs="Calibri"/>
                <w:color w:val="000000" w:themeColor="text1"/>
                <w:spacing w:val="-5"/>
                <w:sz w:val="24"/>
                <w:szCs w:val="24"/>
                <w:lang w:val="en-IE" w:eastAsia="en-IE"/>
              </w:rPr>
              <w:t>olid debris in water</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0"/>
              <w:rPr>
                <w:rFonts w:eastAsiaTheme="minorEastAsia" w:cs="Calibri"/>
                <w:color w:val="000000" w:themeColor="text1"/>
                <w:sz w:val="24"/>
                <w:szCs w:val="24"/>
                <w:lang w:val="en" w:eastAsia="en-IE"/>
              </w:rPr>
            </w:pPr>
            <w:r w:rsidRPr="009D730B">
              <w:rPr>
                <w:rFonts w:eastAsiaTheme="minorEastAsia" w:cs="Calibri"/>
                <w:color w:val="000000" w:themeColor="text1"/>
                <w:sz w:val="24"/>
                <w:szCs w:val="24"/>
                <w:lang w:val="en" w:eastAsia="en-IE"/>
              </w:rPr>
              <w:t>ppm</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1E30F9" w:rsidP="009D730B">
            <w:pPr>
              <w:widowControl w:val="0"/>
              <w:kinsoku w:val="0"/>
              <w:spacing w:after="0" w:line="240" w:lineRule="auto"/>
              <w:ind w:left="108" w:right="576"/>
              <w:rPr>
                <w:rFonts w:eastAsiaTheme="minorEastAsia" w:cs="Calibri"/>
                <w:color w:val="000000" w:themeColor="text1"/>
                <w:spacing w:val="-6"/>
                <w:sz w:val="24"/>
                <w:szCs w:val="24"/>
                <w:lang w:val="en" w:eastAsia="en-IE"/>
              </w:rPr>
            </w:pPr>
            <w:r w:rsidRPr="005A2AA2">
              <w:rPr>
                <w:rFonts w:eastAsiaTheme="minorEastAsia" w:cs="Calibri"/>
                <w:color w:val="000000" w:themeColor="text1"/>
                <w:spacing w:val="-6"/>
                <w:sz w:val="24"/>
                <w:szCs w:val="24"/>
                <w:lang w:val="en" w:eastAsia="en-IE"/>
              </w:rPr>
              <w:t>Current author</w:t>
            </w:r>
          </w:p>
        </w:tc>
      </w:tr>
      <w:tr w:rsidR="009D730B" w:rsidRPr="009D730B" w:rsidTr="00C56555">
        <w:trPr>
          <w:trHeight w:hRule="exact" w:val="750"/>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5"/>
              <w:rPr>
                <w:rFonts w:eastAsiaTheme="minorEastAsia" w:cs="Calibri"/>
                <w:color w:val="000000" w:themeColor="text1"/>
                <w:sz w:val="24"/>
                <w:szCs w:val="24"/>
                <w:lang w:val="en-US" w:eastAsia="en-IE"/>
              </w:rPr>
            </w:pPr>
            <w:r w:rsidRPr="009D730B">
              <w:rPr>
                <w:rFonts w:eastAsiaTheme="minorEastAsia" w:cs="Calibri"/>
                <w:color w:val="000000" w:themeColor="text1"/>
                <w:sz w:val="24"/>
                <w:szCs w:val="24"/>
                <w:lang w:val="en-US" w:eastAsia="en-IE"/>
              </w:rPr>
              <w:t>Coastal Water Quality</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80"/>
              <w:rPr>
                <w:rFonts w:eastAsiaTheme="minorEastAsia" w:cs="Calibri"/>
                <w:color w:val="000000" w:themeColor="text1"/>
                <w:spacing w:val="-5"/>
                <w:sz w:val="24"/>
                <w:szCs w:val="24"/>
                <w:lang w:val="en-IE" w:eastAsia="en-IE"/>
              </w:rPr>
            </w:pPr>
            <w:r w:rsidRPr="009D730B">
              <w:rPr>
                <w:rFonts w:eastAsiaTheme="minorEastAsia" w:cs="Calibri"/>
                <w:color w:val="000000" w:themeColor="text1"/>
                <w:spacing w:val="-5"/>
                <w:sz w:val="24"/>
                <w:szCs w:val="24"/>
                <w:lang w:val="en-IE" w:eastAsia="en-IE"/>
              </w:rPr>
              <w:t>chlorophyll-a concentrations</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0"/>
              <w:rPr>
                <w:rFonts w:eastAsiaTheme="minorEastAsia" w:cs="Calibri"/>
                <w:color w:val="000000" w:themeColor="text1"/>
                <w:sz w:val="24"/>
                <w:szCs w:val="24"/>
                <w:lang w:val="en" w:eastAsia="en-IE"/>
              </w:rPr>
            </w:pPr>
            <w:r w:rsidRPr="009D730B">
              <w:rPr>
                <w:rFonts w:eastAsiaTheme="minorEastAsia" w:cs="Calibri"/>
                <w:color w:val="000000" w:themeColor="text1"/>
                <w:sz w:val="24"/>
                <w:szCs w:val="24"/>
                <w:lang w:val="en" w:eastAsia="en-IE"/>
              </w:rPr>
              <w:t>NASA SeaWiFS</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576"/>
              <w:rPr>
                <w:rFonts w:eastAsiaTheme="minorEastAsia" w:cs="Calibri"/>
                <w:color w:val="000000" w:themeColor="text1"/>
                <w:spacing w:val="-6"/>
                <w:sz w:val="24"/>
                <w:szCs w:val="24"/>
                <w:lang w:val="en" w:eastAsia="en-IE"/>
              </w:rPr>
            </w:pPr>
            <w:r w:rsidRPr="009D730B">
              <w:rPr>
                <w:rFonts w:eastAsiaTheme="minorEastAsia" w:cs="Calibri"/>
                <w:color w:val="000000" w:themeColor="text1"/>
                <w:spacing w:val="-6"/>
                <w:sz w:val="24"/>
                <w:szCs w:val="24"/>
                <w:lang w:val="en" w:eastAsia="en-IE"/>
              </w:rPr>
              <w:t>NASA, 2012</w:t>
            </w:r>
          </w:p>
        </w:tc>
      </w:tr>
      <w:tr w:rsidR="009D730B" w:rsidRPr="009D730B" w:rsidTr="00C56555">
        <w:trPr>
          <w:trHeight w:hRule="exact" w:val="858"/>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5"/>
              <w:rPr>
                <w:rFonts w:eastAsiaTheme="minorEastAsia" w:cs="Calibri"/>
                <w:color w:val="000000" w:themeColor="text1"/>
                <w:sz w:val="24"/>
                <w:szCs w:val="24"/>
                <w:lang w:val="en-US" w:eastAsia="en-IE"/>
              </w:rPr>
            </w:pPr>
            <w:r w:rsidRPr="009D730B">
              <w:rPr>
                <w:rFonts w:eastAsiaTheme="minorEastAsia" w:cs="Calibri"/>
                <w:color w:val="000000" w:themeColor="text1"/>
                <w:sz w:val="24"/>
                <w:szCs w:val="24"/>
                <w:lang w:val="en-US" w:eastAsia="en-IE"/>
              </w:rPr>
              <w:t>Ecological footprint</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180"/>
              <w:rPr>
                <w:rFonts w:eastAsiaTheme="minorEastAsia" w:cs="Calibri"/>
                <w:color w:val="000000" w:themeColor="text1"/>
                <w:spacing w:val="-5"/>
                <w:sz w:val="24"/>
                <w:szCs w:val="24"/>
                <w:lang w:val="en-IE" w:eastAsia="en-IE"/>
              </w:rPr>
            </w:pPr>
            <w:r w:rsidRPr="009D730B">
              <w:rPr>
                <w:rFonts w:eastAsiaTheme="minorEastAsia" w:cs="Calibri"/>
                <w:color w:val="000000" w:themeColor="text1"/>
                <w:spacing w:val="-5"/>
                <w:sz w:val="24"/>
                <w:szCs w:val="24"/>
                <w:lang w:val="en-IE" w:eastAsia="en-IE"/>
              </w:rPr>
              <w:t>area of ecologically productive land needed to maintain population</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913B19" w:rsidP="009D730B">
            <w:pPr>
              <w:widowControl w:val="0"/>
              <w:kinsoku w:val="0"/>
              <w:spacing w:after="0" w:line="240" w:lineRule="auto"/>
              <w:ind w:left="110"/>
              <w:rPr>
                <w:rFonts w:eastAsiaTheme="minorEastAsia" w:cs="Calibri"/>
                <w:color w:val="000000" w:themeColor="text1"/>
                <w:sz w:val="24"/>
                <w:szCs w:val="24"/>
                <w:lang w:val="en" w:eastAsia="en-IE"/>
              </w:rPr>
            </w:pPr>
            <w:r>
              <w:rPr>
                <w:rFonts w:eastAsiaTheme="minorEastAsia" w:cs="Calibri"/>
                <w:color w:val="000000" w:themeColor="text1"/>
                <w:sz w:val="24"/>
                <w:szCs w:val="24"/>
                <w:lang w:val="en" w:eastAsia="en-IE"/>
              </w:rPr>
              <w:t>h</w:t>
            </w:r>
            <w:r w:rsidR="009D730B" w:rsidRPr="009D730B">
              <w:rPr>
                <w:rFonts w:eastAsiaTheme="minorEastAsia" w:cs="Calibri"/>
                <w:color w:val="000000" w:themeColor="text1"/>
                <w:sz w:val="24"/>
                <w:szCs w:val="24"/>
                <w:lang w:val="en" w:eastAsia="en-IE"/>
              </w:rPr>
              <w:t>ectare/acrea/square km</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08" w:right="576"/>
              <w:rPr>
                <w:rFonts w:eastAsiaTheme="minorEastAsia" w:cs="Calibri"/>
                <w:color w:val="000000" w:themeColor="text1"/>
                <w:spacing w:val="-6"/>
                <w:sz w:val="24"/>
                <w:szCs w:val="24"/>
                <w:lang w:val="en" w:eastAsia="en-IE"/>
              </w:rPr>
            </w:pPr>
            <w:r w:rsidRPr="009D730B">
              <w:rPr>
                <w:rFonts w:eastAsiaTheme="minorEastAsia" w:cs="Calibri"/>
                <w:color w:val="000000" w:themeColor="text1"/>
                <w:spacing w:val="-6"/>
                <w:sz w:val="24"/>
                <w:szCs w:val="24"/>
                <w:lang w:val="en" w:eastAsia="en-IE"/>
              </w:rPr>
              <w:t>Wackernagel and Rees, 1996</w:t>
            </w:r>
          </w:p>
        </w:tc>
      </w:tr>
      <w:tr w:rsidR="009D730B" w:rsidRPr="009D730B" w:rsidTr="00C56555">
        <w:trPr>
          <w:trHeight w:hRule="exact" w:val="714"/>
        </w:trPr>
        <w:tc>
          <w:tcPr>
            <w:tcW w:w="2178" w:type="dxa"/>
            <w:tcBorders>
              <w:top w:val="single" w:sz="5" w:space="0" w:color="auto"/>
              <w:left w:val="single" w:sz="5" w:space="0" w:color="auto"/>
              <w:bottom w:val="single" w:sz="5" w:space="0" w:color="auto"/>
              <w:right w:val="single" w:sz="5" w:space="0" w:color="auto"/>
            </w:tcBorders>
            <w:vAlign w:val="center"/>
          </w:tcPr>
          <w:p w:rsidR="009D730B" w:rsidRPr="009D730B" w:rsidRDefault="009D730B" w:rsidP="009D730B">
            <w:pPr>
              <w:widowControl w:val="0"/>
              <w:kinsoku w:val="0"/>
              <w:spacing w:after="0" w:line="240" w:lineRule="auto"/>
              <w:ind w:left="115"/>
              <w:rPr>
                <w:rFonts w:eastAsiaTheme="minorEastAsia" w:cs="Calibri"/>
                <w:color w:val="000000" w:themeColor="text1"/>
                <w:sz w:val="24"/>
                <w:szCs w:val="24"/>
                <w:lang w:val="en-US" w:eastAsia="en-IE"/>
              </w:rPr>
            </w:pPr>
            <w:r w:rsidRPr="009D730B">
              <w:rPr>
                <w:rFonts w:eastAsiaTheme="minorEastAsia" w:cs="Calibri"/>
                <w:color w:val="000000" w:themeColor="text1"/>
                <w:sz w:val="24"/>
                <w:szCs w:val="24"/>
                <w:lang w:val="en-US" w:eastAsia="en-IE"/>
              </w:rPr>
              <w:t>Usage of waste in value chain</w:t>
            </w:r>
          </w:p>
        </w:tc>
        <w:tc>
          <w:tcPr>
            <w:tcW w:w="2410" w:type="dxa"/>
            <w:tcBorders>
              <w:top w:val="single" w:sz="5" w:space="0" w:color="auto"/>
              <w:left w:val="single" w:sz="5" w:space="0" w:color="auto"/>
              <w:bottom w:val="single" w:sz="5" w:space="0" w:color="auto"/>
              <w:right w:val="single" w:sz="5" w:space="0" w:color="auto"/>
            </w:tcBorders>
            <w:vAlign w:val="center"/>
          </w:tcPr>
          <w:p w:rsidR="009D730B" w:rsidRPr="009D730B" w:rsidRDefault="00C95206" w:rsidP="00C95206">
            <w:pPr>
              <w:widowControl w:val="0"/>
              <w:kinsoku w:val="0"/>
              <w:spacing w:after="0" w:line="240" w:lineRule="auto"/>
              <w:ind w:right="180"/>
              <w:rPr>
                <w:rFonts w:eastAsiaTheme="minorEastAsia" w:cs="Calibri"/>
                <w:color w:val="000000" w:themeColor="text1"/>
                <w:spacing w:val="-5"/>
                <w:sz w:val="24"/>
                <w:szCs w:val="24"/>
                <w:lang w:val="en-IE" w:eastAsia="en-IE"/>
              </w:rPr>
            </w:pPr>
            <w:r>
              <w:rPr>
                <w:rFonts w:eastAsiaTheme="minorEastAsia" w:cs="Calibri"/>
                <w:color w:val="000000" w:themeColor="text1"/>
                <w:spacing w:val="-5"/>
                <w:sz w:val="24"/>
                <w:szCs w:val="24"/>
                <w:lang w:val="en-IE" w:eastAsia="en-IE"/>
              </w:rPr>
              <w:t xml:space="preserve">  </w:t>
            </w:r>
            <w:r w:rsidR="001E30F9" w:rsidRPr="005A2AA2">
              <w:rPr>
                <w:rFonts w:eastAsiaTheme="minorEastAsia" w:cs="Calibri"/>
                <w:color w:val="000000" w:themeColor="text1"/>
                <w:spacing w:val="-5"/>
                <w:sz w:val="24"/>
                <w:szCs w:val="24"/>
                <w:lang w:val="en-IE" w:eastAsia="en-IE"/>
              </w:rPr>
              <w:t>p</w:t>
            </w:r>
            <w:r w:rsidR="009D730B" w:rsidRPr="009D730B">
              <w:rPr>
                <w:rFonts w:eastAsiaTheme="minorEastAsia" w:cs="Calibri"/>
                <w:color w:val="000000" w:themeColor="text1"/>
                <w:spacing w:val="-5"/>
                <w:sz w:val="24"/>
                <w:szCs w:val="24"/>
                <w:lang w:val="en-IE" w:eastAsia="en-IE"/>
              </w:rPr>
              <w:t xml:space="preserve">roportion of total </w:t>
            </w:r>
            <w:r w:rsidR="005A2AA2" w:rsidRPr="005A2AA2">
              <w:rPr>
                <w:rFonts w:eastAsiaTheme="minorEastAsia" w:cs="Calibri"/>
                <w:color w:val="000000" w:themeColor="text1"/>
                <w:spacing w:val="-5"/>
                <w:sz w:val="24"/>
                <w:szCs w:val="24"/>
                <w:lang w:val="en-IE" w:eastAsia="en-IE"/>
              </w:rPr>
              <w:t xml:space="preserve">  </w:t>
            </w:r>
            <w:r w:rsidR="00AA0726">
              <w:rPr>
                <w:rFonts w:eastAsiaTheme="minorEastAsia" w:cs="Calibri"/>
                <w:color w:val="000000" w:themeColor="text1"/>
                <w:spacing w:val="-5"/>
                <w:sz w:val="24"/>
                <w:szCs w:val="24"/>
                <w:lang w:val="en-IE" w:eastAsia="en-IE"/>
              </w:rPr>
              <w:t xml:space="preserve">           </w:t>
            </w:r>
            <w:r>
              <w:rPr>
                <w:rFonts w:eastAsiaTheme="minorEastAsia" w:cs="Calibri"/>
                <w:color w:val="000000" w:themeColor="text1"/>
                <w:spacing w:val="-5"/>
                <w:sz w:val="24"/>
                <w:szCs w:val="24"/>
                <w:lang w:val="en-IE" w:eastAsia="en-IE"/>
              </w:rPr>
              <w:t xml:space="preserve">          </w:t>
            </w:r>
            <w:r w:rsidR="009D730B" w:rsidRPr="009D730B">
              <w:rPr>
                <w:rFonts w:eastAsiaTheme="minorEastAsia" w:cs="Calibri"/>
                <w:color w:val="000000" w:themeColor="text1"/>
                <w:spacing w:val="-5"/>
                <w:sz w:val="24"/>
                <w:szCs w:val="24"/>
                <w:lang w:val="en-IE" w:eastAsia="en-IE"/>
              </w:rPr>
              <w:t>input</w:t>
            </w:r>
          </w:p>
        </w:tc>
        <w:tc>
          <w:tcPr>
            <w:tcW w:w="2835" w:type="dxa"/>
            <w:tcBorders>
              <w:top w:val="single" w:sz="5" w:space="0" w:color="auto"/>
              <w:left w:val="single" w:sz="5" w:space="0" w:color="auto"/>
              <w:bottom w:val="single" w:sz="5" w:space="0" w:color="auto"/>
              <w:right w:val="single" w:sz="5" w:space="0" w:color="auto"/>
            </w:tcBorders>
            <w:vAlign w:val="center"/>
          </w:tcPr>
          <w:p w:rsidR="009D730B" w:rsidRPr="009D730B" w:rsidRDefault="00631434" w:rsidP="009D730B">
            <w:pPr>
              <w:widowControl w:val="0"/>
              <w:kinsoku w:val="0"/>
              <w:spacing w:after="0" w:line="240" w:lineRule="auto"/>
              <w:ind w:left="110"/>
              <w:rPr>
                <w:rFonts w:eastAsiaTheme="minorEastAsia" w:cs="Calibri"/>
                <w:color w:val="000000" w:themeColor="text1"/>
                <w:sz w:val="24"/>
                <w:szCs w:val="24"/>
                <w:lang w:val="en" w:eastAsia="en-IE"/>
              </w:rPr>
            </w:pPr>
            <w:r>
              <w:rPr>
                <w:rFonts w:eastAsiaTheme="minorEastAsia" w:cs="Calibri"/>
                <w:color w:val="000000" w:themeColor="text1"/>
                <w:sz w:val="24"/>
                <w:szCs w:val="24"/>
                <w:lang w:val="en" w:eastAsia="en-IE"/>
              </w:rPr>
              <w:t>k</w:t>
            </w:r>
            <w:r w:rsidR="009D730B" w:rsidRPr="009D730B">
              <w:rPr>
                <w:rFonts w:eastAsiaTheme="minorEastAsia" w:cs="Calibri"/>
                <w:color w:val="000000" w:themeColor="text1"/>
                <w:sz w:val="24"/>
                <w:szCs w:val="24"/>
                <w:lang w:val="en" w:eastAsia="en-IE"/>
              </w:rPr>
              <w:t>g/tonnes</w:t>
            </w:r>
          </w:p>
        </w:tc>
        <w:tc>
          <w:tcPr>
            <w:tcW w:w="2126" w:type="dxa"/>
            <w:tcBorders>
              <w:top w:val="single" w:sz="5" w:space="0" w:color="auto"/>
              <w:left w:val="single" w:sz="5" w:space="0" w:color="auto"/>
              <w:bottom w:val="single" w:sz="5" w:space="0" w:color="auto"/>
              <w:right w:val="single" w:sz="5" w:space="0" w:color="auto"/>
            </w:tcBorders>
            <w:vAlign w:val="center"/>
          </w:tcPr>
          <w:p w:rsidR="009D730B" w:rsidRPr="009D730B" w:rsidRDefault="001E30F9" w:rsidP="009D730B">
            <w:pPr>
              <w:widowControl w:val="0"/>
              <w:kinsoku w:val="0"/>
              <w:spacing w:after="0" w:line="240" w:lineRule="auto"/>
              <w:ind w:left="108" w:right="576"/>
              <w:rPr>
                <w:rFonts w:eastAsiaTheme="minorEastAsia" w:cs="Calibri"/>
                <w:color w:val="000000" w:themeColor="text1"/>
                <w:spacing w:val="-6"/>
                <w:sz w:val="24"/>
                <w:szCs w:val="24"/>
                <w:lang w:val="en" w:eastAsia="en-IE"/>
              </w:rPr>
            </w:pPr>
            <w:r w:rsidRPr="005A2AA2">
              <w:rPr>
                <w:rFonts w:eastAsiaTheme="minorEastAsia" w:cs="Calibri"/>
                <w:color w:val="000000" w:themeColor="text1"/>
                <w:spacing w:val="-6"/>
                <w:sz w:val="24"/>
                <w:szCs w:val="24"/>
                <w:lang w:val="en" w:eastAsia="en-IE"/>
              </w:rPr>
              <w:t>Current author</w:t>
            </w:r>
          </w:p>
        </w:tc>
      </w:tr>
    </w:tbl>
    <w:p w:rsidR="009D730B" w:rsidRPr="00C040B8" w:rsidRDefault="009D730B" w:rsidP="009D730B">
      <w:pPr>
        <w:rPr>
          <w:sz w:val="24"/>
          <w:szCs w:val="24"/>
        </w:rPr>
      </w:pPr>
    </w:p>
    <w:p w:rsidR="00C040B8" w:rsidRPr="00207B36" w:rsidRDefault="00C040B8"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(Adapted from </w:t>
      </w:r>
      <w:bookmarkStart w:id="2" w:name="_Hlk480642803"/>
      <w:r w:rsidRPr="00207B36">
        <w:rPr>
          <w:rFonts w:ascii="Times New Roman" w:hAnsi="Times New Roman" w:cs="Times New Roman"/>
          <w:sz w:val="24"/>
          <w:szCs w:val="24"/>
          <w:lang w:val="en-US"/>
        </w:rPr>
        <w:t>European Commission, 2010</w:t>
      </w:r>
      <w:bookmarkEnd w:id="2"/>
      <w:r w:rsidRPr="00207B36">
        <w:rPr>
          <w:rFonts w:ascii="Times New Roman" w:hAnsi="Times New Roman" w:cs="Times New Roman"/>
          <w:sz w:val="24"/>
          <w:szCs w:val="24"/>
          <w:lang w:val="en-US"/>
        </w:rPr>
        <w:t xml:space="preserve">) </w:t>
      </w:r>
    </w:p>
    <w:p w:rsidR="00ED44E8" w:rsidRPr="00207B36" w:rsidRDefault="004D1C62" w:rsidP="00207B36">
      <w:pPr>
        <w:spacing w:line="480" w:lineRule="auto"/>
        <w:rPr>
          <w:rFonts w:ascii="Times New Roman" w:hAnsi="Times New Roman" w:cs="Times New Roman"/>
          <w:b/>
          <w:i/>
          <w:sz w:val="24"/>
          <w:szCs w:val="24"/>
          <w:lang w:val="en-US"/>
        </w:rPr>
      </w:pPr>
      <w:r w:rsidRPr="00207B36">
        <w:rPr>
          <w:rFonts w:ascii="Times New Roman" w:hAnsi="Times New Roman" w:cs="Times New Roman"/>
          <w:b/>
          <w:i/>
          <w:sz w:val="24"/>
          <w:szCs w:val="24"/>
          <w:lang w:val="en-US"/>
        </w:rPr>
        <w:t>Environment Sustainability Discussion</w:t>
      </w:r>
    </w:p>
    <w:p w:rsidR="00A60F3E" w:rsidRPr="00207B36" w:rsidRDefault="00C040B8"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Most quantitative criteria can be considered qualitative if we set a certain threshold for the parameter beyond which any result is positive and belo</w:t>
      </w:r>
      <w:r w:rsidR="004D1C62" w:rsidRPr="00207B36">
        <w:rPr>
          <w:rFonts w:ascii="Times New Roman" w:hAnsi="Times New Roman" w:cs="Times New Roman"/>
          <w:sz w:val="24"/>
          <w:szCs w:val="24"/>
          <w:lang w:val="en-US"/>
        </w:rPr>
        <w:t>w which any result is negative.</w:t>
      </w:r>
      <w:r w:rsidRPr="00207B36">
        <w:rPr>
          <w:rFonts w:ascii="Times New Roman" w:hAnsi="Times New Roman" w:cs="Times New Roman"/>
          <w:sz w:val="24"/>
          <w:szCs w:val="24"/>
          <w:lang w:val="en-US"/>
        </w:rPr>
        <w:t xml:space="preserve"> </w:t>
      </w:r>
      <w:r w:rsidR="00FD58C6" w:rsidRPr="00207B36">
        <w:rPr>
          <w:rFonts w:ascii="Times New Roman" w:hAnsi="Times New Roman" w:cs="Times New Roman"/>
          <w:sz w:val="24"/>
          <w:szCs w:val="24"/>
          <w:lang w:val="en-US"/>
        </w:rPr>
        <w:t>Some hazardous products might be produced in factories which are located close to the sea. The waste may therefore effect marine water instead of fresh water. The impact would likely be different and therefore needs to be accurately quantified.</w:t>
      </w:r>
    </w:p>
    <w:p w:rsidR="00AC631F" w:rsidRPr="00207B36" w:rsidRDefault="00AC631F"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lastRenderedPageBreak/>
        <w:t xml:space="preserve">It is important to realise that the above-mentioned environment impact categories are limited and other environmental impact categories may need to be considered when relevant. </w:t>
      </w:r>
      <w:r w:rsidR="00A60F3E" w:rsidRPr="00207B36">
        <w:rPr>
          <w:rFonts w:ascii="Times New Roman" w:hAnsi="Times New Roman" w:cs="Times New Roman"/>
          <w:sz w:val="24"/>
          <w:szCs w:val="24"/>
        </w:rPr>
        <w:t>For example, biodiversity impacts due to land use changes may occur in association with a specific sit</w:t>
      </w:r>
      <w:r w:rsidRPr="00207B36">
        <w:rPr>
          <w:rFonts w:ascii="Times New Roman" w:hAnsi="Times New Roman" w:cs="Times New Roman"/>
          <w:sz w:val="24"/>
          <w:szCs w:val="24"/>
        </w:rPr>
        <w:t xml:space="preserve">e or activity. This may not only require defining a new impact category but also an </w:t>
      </w:r>
      <w:r w:rsidR="00A60F3E" w:rsidRPr="00207B36">
        <w:rPr>
          <w:rFonts w:ascii="Times New Roman" w:hAnsi="Times New Roman" w:cs="Times New Roman"/>
          <w:sz w:val="24"/>
          <w:szCs w:val="24"/>
        </w:rPr>
        <w:t>add</w:t>
      </w:r>
      <w:r w:rsidRPr="00207B36">
        <w:rPr>
          <w:rFonts w:ascii="Times New Roman" w:hAnsi="Times New Roman" w:cs="Times New Roman"/>
          <w:sz w:val="24"/>
          <w:szCs w:val="24"/>
        </w:rPr>
        <w:t>itional qualitative description</w:t>
      </w:r>
      <w:r w:rsidR="00A60F3E" w:rsidRPr="00207B36">
        <w:rPr>
          <w:rFonts w:ascii="Times New Roman" w:hAnsi="Times New Roman" w:cs="Times New Roman"/>
          <w:sz w:val="24"/>
          <w:szCs w:val="24"/>
        </w:rPr>
        <w:t xml:space="preserve"> where impacts cannot be linked to the product supply chain in a quantitative manner. Such additional methods should </w:t>
      </w:r>
      <w:r w:rsidRPr="00207B36">
        <w:rPr>
          <w:rFonts w:ascii="Times New Roman" w:hAnsi="Times New Roman" w:cs="Times New Roman"/>
          <w:sz w:val="24"/>
          <w:szCs w:val="24"/>
        </w:rPr>
        <w:t xml:space="preserve">not be considered distortion but instead </w:t>
      </w:r>
      <w:r w:rsidR="00A60F3E" w:rsidRPr="00207B36">
        <w:rPr>
          <w:rFonts w:ascii="Times New Roman" w:hAnsi="Times New Roman" w:cs="Times New Roman"/>
          <w:sz w:val="24"/>
          <w:szCs w:val="24"/>
        </w:rPr>
        <w:t>be viewed as complementary to the default li</w:t>
      </w:r>
      <w:r w:rsidRPr="00207B36">
        <w:rPr>
          <w:rFonts w:ascii="Times New Roman" w:hAnsi="Times New Roman" w:cs="Times New Roman"/>
          <w:sz w:val="24"/>
          <w:szCs w:val="24"/>
        </w:rPr>
        <w:t>st of environment sustainability</w:t>
      </w:r>
      <w:r w:rsidR="00C56555" w:rsidRPr="00207B36">
        <w:rPr>
          <w:rFonts w:ascii="Times New Roman" w:hAnsi="Times New Roman" w:cs="Times New Roman"/>
          <w:sz w:val="24"/>
          <w:szCs w:val="24"/>
        </w:rPr>
        <w:t xml:space="preserve"> (European Commission, 2010)</w:t>
      </w:r>
      <w:r w:rsidR="00A60F3E" w:rsidRPr="00207B36">
        <w:rPr>
          <w:rFonts w:ascii="Times New Roman" w:hAnsi="Times New Roman" w:cs="Times New Roman"/>
          <w:sz w:val="24"/>
          <w:szCs w:val="24"/>
        </w:rPr>
        <w:t xml:space="preserve">. </w:t>
      </w:r>
    </w:p>
    <w:p w:rsidR="00C040B8" w:rsidRPr="00207B36" w:rsidRDefault="00C040B8" w:rsidP="00207B36">
      <w:pPr>
        <w:spacing w:line="480" w:lineRule="auto"/>
        <w:rPr>
          <w:rFonts w:ascii="Times New Roman" w:hAnsi="Times New Roman" w:cs="Times New Roman"/>
          <w:sz w:val="24"/>
          <w:szCs w:val="24"/>
          <w:lang w:val="en"/>
        </w:rPr>
      </w:pPr>
      <w:r w:rsidRPr="00207B36">
        <w:rPr>
          <w:rFonts w:ascii="Times New Roman" w:hAnsi="Times New Roman" w:cs="Times New Roman"/>
          <w:sz w:val="24"/>
          <w:szCs w:val="24"/>
          <w:lang w:val="en"/>
        </w:rPr>
        <w:t>Reduced externality costs like reduced sedimentation should be considered because for example riparian buffers reduce overland runoff to streams (Daniels and Gilliman 1996), wetland restoration can reduce flood flow volu</w:t>
      </w:r>
      <w:r w:rsidR="00734805" w:rsidRPr="00207B36">
        <w:rPr>
          <w:rFonts w:ascii="Times New Roman" w:hAnsi="Times New Roman" w:cs="Times New Roman"/>
          <w:sz w:val="24"/>
          <w:szCs w:val="24"/>
          <w:lang w:val="en"/>
        </w:rPr>
        <w:t>mes (Shultz and Leitch 2003) and other negative externalities</w:t>
      </w:r>
      <w:r w:rsidRPr="00207B36">
        <w:rPr>
          <w:rFonts w:ascii="Times New Roman" w:hAnsi="Times New Roman" w:cs="Times New Roman"/>
          <w:sz w:val="24"/>
          <w:szCs w:val="24"/>
          <w:lang w:val="en"/>
        </w:rPr>
        <w:t>. Modelling has shown that reducing runoff by 10% within a watershed may reduce the flood peaks with a 2 to 5 year return period by 25% to 50% and might reduce a 10</w:t>
      </w:r>
      <w:r w:rsidR="00734805" w:rsidRPr="00207B36">
        <w:rPr>
          <w:rFonts w:ascii="Times New Roman" w:hAnsi="Times New Roman" w:cs="Times New Roman"/>
          <w:sz w:val="24"/>
          <w:szCs w:val="24"/>
          <w:lang w:val="en"/>
        </w:rPr>
        <w:t>0-</w:t>
      </w:r>
      <w:r w:rsidRPr="00207B36">
        <w:rPr>
          <w:rFonts w:ascii="Times New Roman" w:hAnsi="Times New Roman" w:cs="Times New Roman"/>
          <w:sz w:val="24"/>
          <w:szCs w:val="24"/>
          <w:lang w:val="en"/>
        </w:rPr>
        <w:t xml:space="preserve">year flood by about 10% (USACE 1995). These positive externalities need to be quantified and expressed (where relevant) in the environmental sustainability assessment for a holistic overview of a value chain. </w:t>
      </w:r>
    </w:p>
    <w:p w:rsidR="00204B84" w:rsidRPr="00207B36" w:rsidRDefault="00204B84" w:rsidP="00207B36">
      <w:pPr>
        <w:spacing w:line="480" w:lineRule="auto"/>
        <w:rPr>
          <w:rFonts w:ascii="Times New Roman" w:hAnsi="Times New Roman" w:cs="Times New Roman"/>
          <w:sz w:val="24"/>
          <w:szCs w:val="24"/>
          <w:lang w:val="en"/>
        </w:rPr>
      </w:pPr>
      <w:r w:rsidRPr="00207B36">
        <w:rPr>
          <w:rFonts w:ascii="Times New Roman" w:hAnsi="Times New Roman" w:cs="Times New Roman"/>
          <w:sz w:val="24"/>
          <w:szCs w:val="24"/>
          <w:lang w:val="en"/>
        </w:rPr>
        <w:t xml:space="preserve">Only fourteen impact categories were suggested in the EC PEF and other ten impact categories were added to customize the </w:t>
      </w:r>
      <w:r w:rsidR="00773F7D" w:rsidRPr="00207B36">
        <w:rPr>
          <w:rFonts w:ascii="Times New Roman" w:hAnsi="Times New Roman" w:cs="Times New Roman"/>
          <w:sz w:val="24"/>
          <w:szCs w:val="24"/>
          <w:lang w:val="en"/>
        </w:rPr>
        <w:t xml:space="preserve">environment </w:t>
      </w:r>
      <w:r w:rsidRPr="00207B36">
        <w:rPr>
          <w:rFonts w:ascii="Times New Roman" w:hAnsi="Times New Roman" w:cs="Times New Roman"/>
          <w:sz w:val="24"/>
          <w:szCs w:val="24"/>
          <w:lang w:val="en"/>
        </w:rPr>
        <w:t xml:space="preserve">criteria for bioeconomy projects in Ireland.  </w:t>
      </w:r>
      <w:r w:rsidR="00773F7D" w:rsidRPr="00207B36">
        <w:rPr>
          <w:rFonts w:ascii="Times New Roman" w:hAnsi="Times New Roman" w:cs="Times New Roman"/>
          <w:sz w:val="24"/>
          <w:szCs w:val="24"/>
          <w:lang w:val="en"/>
        </w:rPr>
        <w:t xml:space="preserve">For example, water footprint was added because, while Ireland does not suffer from water deficiency due to water usage but in globally linked value chains water could impact the sustainability score </w:t>
      </w:r>
      <w:r w:rsidR="00734805" w:rsidRPr="00207B36">
        <w:rPr>
          <w:rFonts w:ascii="Times New Roman" w:hAnsi="Times New Roman" w:cs="Times New Roman"/>
          <w:sz w:val="24"/>
          <w:szCs w:val="24"/>
          <w:lang w:val="en"/>
        </w:rPr>
        <w:t xml:space="preserve">of any value chain </w:t>
      </w:r>
      <w:r w:rsidR="00773F7D" w:rsidRPr="00207B36">
        <w:rPr>
          <w:rFonts w:ascii="Times New Roman" w:hAnsi="Times New Roman" w:cs="Times New Roman"/>
          <w:sz w:val="24"/>
          <w:szCs w:val="24"/>
          <w:lang w:val="en"/>
        </w:rPr>
        <w:t>significantly. Other indicators such as fish stock were added because Ireland is a small island country and healthy fish population keeps the coast sustainable and economy viabl</w:t>
      </w:r>
      <w:r w:rsidR="00734805" w:rsidRPr="00207B36">
        <w:rPr>
          <w:rFonts w:ascii="Times New Roman" w:hAnsi="Times New Roman" w:cs="Times New Roman"/>
          <w:sz w:val="24"/>
          <w:szCs w:val="24"/>
          <w:lang w:val="en"/>
        </w:rPr>
        <w:t>e. T</w:t>
      </w:r>
      <w:r w:rsidR="00773F7D" w:rsidRPr="00207B36">
        <w:rPr>
          <w:rFonts w:ascii="Times New Roman" w:hAnsi="Times New Roman" w:cs="Times New Roman"/>
          <w:sz w:val="24"/>
          <w:szCs w:val="24"/>
          <w:lang w:val="en"/>
        </w:rPr>
        <w:t>herefore</w:t>
      </w:r>
      <w:r w:rsidR="00734805" w:rsidRPr="00207B36">
        <w:rPr>
          <w:rFonts w:ascii="Times New Roman" w:hAnsi="Times New Roman" w:cs="Times New Roman"/>
          <w:sz w:val="24"/>
          <w:szCs w:val="24"/>
          <w:lang w:val="en"/>
        </w:rPr>
        <w:t>,</w:t>
      </w:r>
      <w:r w:rsidR="00773F7D" w:rsidRPr="00207B36">
        <w:rPr>
          <w:rFonts w:ascii="Times New Roman" w:hAnsi="Times New Roman" w:cs="Times New Roman"/>
          <w:sz w:val="24"/>
          <w:szCs w:val="24"/>
          <w:lang w:val="en"/>
        </w:rPr>
        <w:t xml:space="preserve"> it was considered a relatively high weighted environment criteria in the Irish context (Current author). </w:t>
      </w:r>
    </w:p>
    <w:p w:rsidR="00A770B0" w:rsidRPr="00207B36" w:rsidRDefault="00A770B0" w:rsidP="00207B36">
      <w:pPr>
        <w:spacing w:line="480" w:lineRule="auto"/>
        <w:rPr>
          <w:rFonts w:ascii="Times New Roman" w:hAnsi="Times New Roman" w:cs="Times New Roman"/>
          <w:b/>
          <w:i/>
          <w:sz w:val="24"/>
          <w:szCs w:val="24"/>
          <w:lang w:val="en-US"/>
        </w:rPr>
      </w:pPr>
      <w:r w:rsidRPr="00207B36">
        <w:rPr>
          <w:rFonts w:ascii="Times New Roman" w:hAnsi="Times New Roman" w:cs="Times New Roman"/>
          <w:b/>
          <w:i/>
          <w:sz w:val="24"/>
          <w:szCs w:val="24"/>
          <w:lang w:val="en-US"/>
        </w:rPr>
        <w:lastRenderedPageBreak/>
        <w:t>Environment Sustainability Evaluation steps:</w:t>
      </w:r>
    </w:p>
    <w:p w:rsidR="00A770B0" w:rsidRPr="00207B36" w:rsidRDefault="00A770B0" w:rsidP="00207B36">
      <w:pPr>
        <w:numPr>
          <w:ilvl w:val="0"/>
          <w:numId w:val="11"/>
        </w:numPr>
        <w:spacing w:line="480" w:lineRule="auto"/>
        <w:contextualSpacing/>
        <w:rPr>
          <w:rFonts w:ascii="Times New Roman" w:hAnsi="Times New Roman" w:cs="Times New Roman"/>
          <w:sz w:val="24"/>
          <w:szCs w:val="24"/>
          <w:lang w:val="en-US"/>
        </w:rPr>
      </w:pPr>
      <w:r w:rsidRPr="00207B36">
        <w:rPr>
          <w:rFonts w:ascii="Times New Roman" w:hAnsi="Times New Roman" w:cs="Times New Roman"/>
          <w:sz w:val="24"/>
          <w:szCs w:val="24"/>
          <w:lang w:val="en-US"/>
        </w:rPr>
        <w:t>Resource Use and Emission Profile of the value chain</w:t>
      </w:r>
    </w:p>
    <w:p w:rsidR="00A770B0" w:rsidRPr="00207B36" w:rsidRDefault="00A770B0" w:rsidP="00207B36">
      <w:pPr>
        <w:numPr>
          <w:ilvl w:val="0"/>
          <w:numId w:val="11"/>
        </w:numPr>
        <w:spacing w:line="480" w:lineRule="auto"/>
        <w:contextualSpacing/>
        <w:rPr>
          <w:rFonts w:ascii="Times New Roman" w:hAnsi="Times New Roman" w:cs="Times New Roman"/>
          <w:sz w:val="24"/>
          <w:szCs w:val="24"/>
          <w:lang w:val="en-US"/>
        </w:rPr>
      </w:pPr>
      <w:r w:rsidRPr="00207B36">
        <w:rPr>
          <w:rFonts w:ascii="Times New Roman" w:hAnsi="Times New Roman" w:cs="Times New Roman"/>
          <w:sz w:val="24"/>
          <w:szCs w:val="24"/>
          <w:lang w:val="en-US"/>
        </w:rPr>
        <w:t>Classification and Characterization of different environment factors into a single category</w:t>
      </w:r>
    </w:p>
    <w:p w:rsidR="00A770B0" w:rsidRPr="00207B36" w:rsidRDefault="00A770B0" w:rsidP="00207B36">
      <w:pPr>
        <w:numPr>
          <w:ilvl w:val="0"/>
          <w:numId w:val="11"/>
        </w:numPr>
        <w:spacing w:line="480" w:lineRule="auto"/>
        <w:contextualSpacing/>
        <w:rPr>
          <w:rFonts w:ascii="Times New Roman" w:hAnsi="Times New Roman" w:cs="Times New Roman"/>
          <w:sz w:val="24"/>
          <w:szCs w:val="24"/>
          <w:lang w:val="en-US"/>
        </w:rPr>
      </w:pPr>
      <w:r w:rsidRPr="00207B36">
        <w:rPr>
          <w:rFonts w:ascii="Times New Roman" w:hAnsi="Times New Roman" w:cs="Times New Roman"/>
          <w:sz w:val="24"/>
          <w:szCs w:val="24"/>
          <w:lang w:val="en-US"/>
        </w:rPr>
        <w:t>Normalization and weightage</w:t>
      </w:r>
      <w:r w:rsidRPr="00207B36">
        <w:rPr>
          <w:rFonts w:ascii="Times New Roman" w:hAnsi="Times New Roman" w:cs="Times New Roman"/>
          <w:sz w:val="24"/>
          <w:szCs w:val="24"/>
        </w:rPr>
        <w:t xml:space="preserve"> </w:t>
      </w:r>
      <w:r w:rsidRPr="00207B36">
        <w:rPr>
          <w:rFonts w:ascii="Times New Roman" w:hAnsi="Times New Roman" w:cs="Times New Roman"/>
          <w:sz w:val="24"/>
          <w:szCs w:val="24"/>
          <w:lang w:val="en-US"/>
        </w:rPr>
        <w:t>depending on relative importance of various categories</w:t>
      </w:r>
    </w:p>
    <w:p w:rsidR="00A770B0" w:rsidRPr="00207B36" w:rsidRDefault="00A770B0" w:rsidP="00207B36">
      <w:pPr>
        <w:spacing w:line="480" w:lineRule="auto"/>
        <w:ind w:left="720"/>
        <w:contextualSpacing/>
        <w:rPr>
          <w:rFonts w:ascii="Times New Roman" w:hAnsi="Times New Roman" w:cs="Times New Roman"/>
          <w:sz w:val="24"/>
          <w:szCs w:val="24"/>
          <w:lang w:val="en-US"/>
        </w:rPr>
      </w:pPr>
    </w:p>
    <w:p w:rsidR="00A770B0" w:rsidRPr="00207B36" w:rsidRDefault="00A770B0" w:rsidP="00207B36">
      <w:pPr>
        <w:widowControl w:val="0"/>
        <w:kinsoku w:val="0"/>
        <w:spacing w:after="0" w:line="480" w:lineRule="auto"/>
        <w:rPr>
          <w:rFonts w:ascii="Times New Roman" w:eastAsiaTheme="minorEastAsia" w:hAnsi="Times New Roman" w:cs="Times New Roman"/>
          <w:b/>
          <w:bCs/>
          <w:i/>
          <w:sz w:val="24"/>
          <w:szCs w:val="24"/>
          <w:lang w:val="en-US" w:eastAsia="en-IE"/>
        </w:rPr>
      </w:pPr>
      <w:r w:rsidRPr="00207B36">
        <w:rPr>
          <w:rFonts w:ascii="Times New Roman" w:eastAsiaTheme="minorEastAsia" w:hAnsi="Times New Roman" w:cs="Times New Roman"/>
          <w:b/>
          <w:bCs/>
          <w:i/>
          <w:sz w:val="24"/>
          <w:szCs w:val="24"/>
          <w:lang w:val="en-US" w:eastAsia="en-IE"/>
        </w:rPr>
        <w:t xml:space="preserve">Environmental Sustainability evaluation </w:t>
      </w:r>
    </w:p>
    <w:p w:rsidR="00A770B0" w:rsidRPr="00207B36" w:rsidRDefault="00A770B0" w:rsidP="00207B36">
      <w:pPr>
        <w:widowControl w:val="0"/>
        <w:kinsoku w:val="0"/>
        <w:spacing w:after="0" w:line="480" w:lineRule="auto"/>
        <w:rPr>
          <w:rFonts w:ascii="Times New Roman" w:eastAsiaTheme="minorEastAsia" w:hAnsi="Times New Roman" w:cs="Times New Roman"/>
          <w:b/>
          <w:bCs/>
          <w:sz w:val="24"/>
          <w:szCs w:val="24"/>
          <w:lang w:val="en-US" w:eastAsia="en-IE"/>
        </w:rPr>
      </w:pPr>
    </w:p>
    <w:p w:rsidR="00A770B0" w:rsidRPr="00207B36" w:rsidRDefault="00A770B0" w:rsidP="00207B36">
      <w:pPr>
        <w:widowControl w:val="0"/>
        <w:kinsoku w:val="0"/>
        <w:spacing w:after="0" w:line="480" w:lineRule="auto"/>
        <w:rPr>
          <w:rFonts w:ascii="Times New Roman" w:eastAsiaTheme="minorEastAsia" w:hAnsi="Times New Roman" w:cs="Times New Roman"/>
          <w:bCs/>
          <w:sz w:val="24"/>
          <w:szCs w:val="24"/>
          <w:lang w:val="en-US" w:eastAsia="en-IE"/>
        </w:rPr>
      </w:pPr>
      <w:r w:rsidRPr="00207B36">
        <w:rPr>
          <w:rFonts w:ascii="Times New Roman" w:eastAsiaTheme="minorEastAsia" w:hAnsi="Times New Roman" w:cs="Times New Roman"/>
          <w:bCs/>
          <w:sz w:val="24"/>
          <w:szCs w:val="24"/>
          <w:lang w:val="en-US" w:eastAsia="en-IE"/>
        </w:rPr>
        <w:t>Step 1: Resource Use and Emissions Profile: Same as Economic Sustainability Evaluation</w:t>
      </w:r>
    </w:p>
    <w:p w:rsidR="00A770B0" w:rsidRPr="00207B36" w:rsidRDefault="00A770B0" w:rsidP="00207B36">
      <w:pPr>
        <w:widowControl w:val="0"/>
        <w:kinsoku w:val="0"/>
        <w:spacing w:after="0" w:line="480" w:lineRule="auto"/>
        <w:rPr>
          <w:rFonts w:ascii="Times New Roman" w:eastAsiaTheme="minorEastAsia" w:hAnsi="Times New Roman" w:cs="Times New Roman"/>
          <w:bCs/>
          <w:sz w:val="24"/>
          <w:szCs w:val="24"/>
          <w:lang w:val="en-US" w:eastAsia="en-IE"/>
        </w:rPr>
      </w:pPr>
    </w:p>
    <w:p w:rsidR="00A770B0" w:rsidRPr="00207B36" w:rsidRDefault="00A770B0" w:rsidP="00207B36">
      <w:pPr>
        <w:widowControl w:val="0"/>
        <w:kinsoku w:val="0"/>
        <w:spacing w:after="0" w:line="480" w:lineRule="auto"/>
        <w:rPr>
          <w:rFonts w:ascii="Times New Roman" w:eastAsiaTheme="minorEastAsia" w:hAnsi="Times New Roman" w:cs="Times New Roman"/>
          <w:bCs/>
          <w:sz w:val="24"/>
          <w:szCs w:val="24"/>
          <w:lang w:val="en-US" w:eastAsia="en-IE"/>
        </w:rPr>
      </w:pPr>
      <w:r w:rsidRPr="00207B36">
        <w:rPr>
          <w:rFonts w:ascii="Times New Roman" w:eastAsiaTheme="minorEastAsia" w:hAnsi="Times New Roman" w:cs="Times New Roman"/>
          <w:bCs/>
          <w:sz w:val="24"/>
          <w:szCs w:val="24"/>
          <w:lang w:val="en-US" w:eastAsia="en-IE"/>
        </w:rPr>
        <w:t>Step 2: Classification and Characterization</w:t>
      </w:r>
    </w:p>
    <w:p w:rsidR="00A770B0" w:rsidRPr="00207B36" w:rsidRDefault="00A770B0" w:rsidP="00207B36">
      <w:pPr>
        <w:widowControl w:val="0"/>
        <w:kinsoku w:val="0"/>
        <w:spacing w:after="0" w:line="480" w:lineRule="auto"/>
        <w:rPr>
          <w:rFonts w:ascii="Times New Roman" w:eastAsiaTheme="minorEastAsia" w:hAnsi="Times New Roman" w:cs="Times New Roman"/>
          <w:bCs/>
          <w:sz w:val="24"/>
          <w:szCs w:val="24"/>
          <w:lang w:val="en-US" w:eastAsia="en-IE"/>
        </w:rPr>
      </w:pPr>
    </w:p>
    <w:p w:rsidR="00A770B0" w:rsidRPr="00207B36" w:rsidRDefault="00A770B0" w:rsidP="00207B36">
      <w:pPr>
        <w:widowControl w:val="0"/>
        <w:kinsoku w:val="0"/>
        <w:spacing w:after="0"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bCs/>
          <w:sz w:val="24"/>
          <w:szCs w:val="24"/>
          <w:lang w:val="en-US" w:eastAsia="en-IE"/>
        </w:rPr>
        <w:t>Classification</w:t>
      </w:r>
      <w:r w:rsidRPr="00207B36">
        <w:rPr>
          <w:rFonts w:ascii="Times New Roman" w:eastAsiaTheme="minorEastAsia" w:hAnsi="Times New Roman" w:cs="Times New Roman"/>
          <w:sz w:val="24"/>
          <w:szCs w:val="24"/>
          <w:lang w:val="en-US" w:eastAsia="en-IE"/>
        </w:rPr>
        <w:t xml:space="preserve"> requires assigning the material/energy inputs and outputs included in the research criteria developed to the relevant impact categories. For example, during the classification phase, all inputs/outputs that result in greenhouse gas emissions are assigned to the climate change category. Similarly, those that result in emissions of ozone-depleting substances are classified to the Ozone Depletion category. In some cases, an input/output may contribute to more than one impact category. For instance, chlorofluorocarbons (CFCs) contribute to both Climate Change and Ozone Depletion</w:t>
      </w:r>
      <w:r w:rsidR="00927BE1" w:rsidRPr="00207B36">
        <w:rPr>
          <w:rFonts w:ascii="Times New Roman" w:eastAsiaTheme="minorEastAsia" w:hAnsi="Times New Roman" w:cs="Times New Roman"/>
          <w:sz w:val="24"/>
          <w:szCs w:val="24"/>
          <w:lang w:val="en-US" w:eastAsia="en-IE"/>
        </w:rPr>
        <w:t xml:space="preserve"> (European Commission, 2010)</w:t>
      </w:r>
      <w:r w:rsidRPr="00207B36">
        <w:rPr>
          <w:rFonts w:ascii="Times New Roman" w:eastAsiaTheme="minorEastAsia" w:hAnsi="Times New Roman" w:cs="Times New Roman"/>
          <w:sz w:val="24"/>
          <w:szCs w:val="24"/>
          <w:lang w:val="en-US" w:eastAsia="en-IE"/>
        </w:rPr>
        <w:t>.</w:t>
      </w:r>
    </w:p>
    <w:p w:rsidR="00A770B0" w:rsidRPr="00207B36" w:rsidRDefault="00A770B0" w:rsidP="00207B36">
      <w:pPr>
        <w:widowControl w:val="0"/>
        <w:kinsoku w:val="0"/>
        <w:spacing w:after="0" w:line="480" w:lineRule="auto"/>
        <w:rPr>
          <w:rFonts w:ascii="Times New Roman" w:eastAsiaTheme="minorEastAsia" w:hAnsi="Times New Roman" w:cs="Times New Roman"/>
          <w:sz w:val="24"/>
          <w:szCs w:val="24"/>
          <w:lang w:val="en-US" w:eastAsia="en-IE"/>
        </w:rPr>
      </w:pPr>
    </w:p>
    <w:p w:rsidR="00A770B0" w:rsidRPr="00207B36" w:rsidRDefault="006A6005" w:rsidP="00207B36">
      <w:pPr>
        <w:widowControl w:val="0"/>
        <w:kinsoku w:val="0"/>
        <w:spacing w:after="0" w:line="480" w:lineRule="auto"/>
        <w:rPr>
          <w:rFonts w:ascii="Times New Roman" w:eastAsiaTheme="minorEastAsia" w:hAnsi="Times New Roman" w:cs="Times New Roman"/>
          <w:b/>
          <w:i/>
          <w:sz w:val="24"/>
          <w:szCs w:val="24"/>
          <w:lang w:val="en-US" w:eastAsia="en-IE"/>
        </w:rPr>
      </w:pPr>
      <w:r w:rsidRPr="00207B36">
        <w:rPr>
          <w:rFonts w:ascii="Times New Roman" w:eastAsiaTheme="minorEastAsia" w:hAnsi="Times New Roman" w:cs="Times New Roman"/>
          <w:b/>
          <w:i/>
          <w:sz w:val="24"/>
          <w:szCs w:val="24"/>
          <w:lang w:val="en-US" w:eastAsia="en-IE"/>
        </w:rPr>
        <w:t>Example: C</w:t>
      </w:r>
      <w:r w:rsidR="00A770B0" w:rsidRPr="00207B36">
        <w:rPr>
          <w:rFonts w:ascii="Times New Roman" w:eastAsiaTheme="minorEastAsia" w:hAnsi="Times New Roman" w:cs="Times New Roman"/>
          <w:b/>
          <w:i/>
          <w:sz w:val="24"/>
          <w:szCs w:val="24"/>
          <w:lang w:val="en-US" w:eastAsia="en-IE"/>
        </w:rPr>
        <w:t>lassification of data for a</w:t>
      </w:r>
      <w:r w:rsidR="00427B87" w:rsidRPr="00207B36">
        <w:rPr>
          <w:rFonts w:ascii="Times New Roman" w:eastAsiaTheme="minorEastAsia" w:hAnsi="Times New Roman" w:cs="Times New Roman"/>
          <w:b/>
          <w:i/>
          <w:sz w:val="24"/>
          <w:szCs w:val="24"/>
          <w:lang w:val="en-US" w:eastAsia="en-IE"/>
        </w:rPr>
        <w:t xml:space="preserve"> random</w:t>
      </w:r>
      <w:r w:rsidR="00A770B0" w:rsidRPr="00207B36">
        <w:rPr>
          <w:rFonts w:ascii="Times New Roman" w:eastAsiaTheme="minorEastAsia" w:hAnsi="Times New Roman" w:cs="Times New Roman"/>
          <w:b/>
          <w:i/>
          <w:sz w:val="24"/>
          <w:szCs w:val="24"/>
          <w:lang w:val="en-US" w:eastAsia="en-IE"/>
        </w:rPr>
        <w:t xml:space="preserve"> T-Shirt study</w:t>
      </w:r>
    </w:p>
    <w:p w:rsidR="00427B87" w:rsidRPr="00207B36" w:rsidRDefault="00427B87" w:rsidP="00207B36">
      <w:pPr>
        <w:widowControl w:val="0"/>
        <w:kinsoku w:val="0"/>
        <w:spacing w:after="0" w:line="480" w:lineRule="auto"/>
        <w:rPr>
          <w:rFonts w:ascii="Times New Roman" w:eastAsiaTheme="minorEastAsia" w:hAnsi="Times New Roman" w:cs="Times New Roman"/>
          <w:b/>
          <w:i/>
          <w:sz w:val="24"/>
          <w:szCs w:val="24"/>
          <w:lang w:val="en-US" w:eastAsia="en-IE"/>
        </w:rPr>
      </w:pPr>
    </w:p>
    <w:p w:rsidR="00427B87" w:rsidRPr="00207B36" w:rsidRDefault="00427B87" w:rsidP="00207B36">
      <w:pPr>
        <w:widowControl w:val="0"/>
        <w:kinsoku w:val="0"/>
        <w:spacing w:after="0"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 xml:space="preserve">In the following </w:t>
      </w:r>
      <w:r w:rsidR="00EC44A2" w:rsidRPr="00207B36">
        <w:rPr>
          <w:rFonts w:ascii="Times New Roman" w:eastAsiaTheme="minorEastAsia" w:hAnsi="Times New Roman" w:cs="Times New Roman"/>
          <w:sz w:val="24"/>
          <w:szCs w:val="24"/>
          <w:lang w:val="en-US" w:eastAsia="en-IE"/>
        </w:rPr>
        <w:t xml:space="preserve">Table A and Table B </w:t>
      </w:r>
      <w:r w:rsidRPr="00207B36">
        <w:rPr>
          <w:rFonts w:ascii="Times New Roman" w:eastAsiaTheme="minorEastAsia" w:hAnsi="Times New Roman" w:cs="Times New Roman"/>
          <w:sz w:val="24"/>
          <w:szCs w:val="24"/>
          <w:lang w:val="en-US" w:eastAsia="en-IE"/>
        </w:rPr>
        <w:t>illustration</w:t>
      </w:r>
      <w:r w:rsidR="00EC44A2" w:rsidRPr="00207B36">
        <w:rPr>
          <w:rFonts w:ascii="Times New Roman" w:eastAsiaTheme="minorEastAsia" w:hAnsi="Times New Roman" w:cs="Times New Roman"/>
          <w:sz w:val="24"/>
          <w:szCs w:val="24"/>
          <w:lang w:val="en-US" w:eastAsia="en-IE"/>
        </w:rPr>
        <w:t>s</w:t>
      </w:r>
      <w:r w:rsidRPr="00207B36">
        <w:rPr>
          <w:rFonts w:ascii="Times New Roman" w:eastAsiaTheme="minorEastAsia" w:hAnsi="Times New Roman" w:cs="Times New Roman"/>
          <w:sz w:val="24"/>
          <w:szCs w:val="24"/>
          <w:lang w:val="en-US" w:eastAsia="en-IE"/>
        </w:rPr>
        <w:t xml:space="preserve"> for a random t-shirt study, the different air pollution emissions (for example: Carbon dioxide, Methane) are classified into stand-alone environment factors (for example: climate change, acidification etc).  </w:t>
      </w:r>
    </w:p>
    <w:p w:rsidR="00427B87" w:rsidRPr="00207B36" w:rsidRDefault="00427B87" w:rsidP="00207B36">
      <w:pPr>
        <w:widowControl w:val="0"/>
        <w:kinsoku w:val="0"/>
        <w:spacing w:after="0" w:line="480" w:lineRule="auto"/>
        <w:rPr>
          <w:rFonts w:ascii="Times New Roman" w:eastAsiaTheme="minorEastAsia" w:hAnsi="Times New Roman" w:cs="Times New Roman"/>
          <w:sz w:val="24"/>
          <w:szCs w:val="24"/>
          <w:lang w:val="en-US" w:eastAsia="en-IE"/>
        </w:rPr>
      </w:pPr>
    </w:p>
    <w:p w:rsidR="00A770B0" w:rsidRPr="00207B36" w:rsidRDefault="00EC44A2" w:rsidP="00207B36">
      <w:pPr>
        <w:widowControl w:val="0"/>
        <w:kinsoku w:val="0"/>
        <w:spacing w:after="0"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 xml:space="preserve">Table A: </w:t>
      </w:r>
      <w:r w:rsidR="00A770B0" w:rsidRPr="00207B36">
        <w:rPr>
          <w:rFonts w:ascii="Times New Roman" w:eastAsiaTheme="minorEastAsia" w:hAnsi="Times New Roman" w:cs="Times New Roman"/>
          <w:sz w:val="24"/>
          <w:szCs w:val="24"/>
          <w:lang w:val="en-US" w:eastAsia="en-IE"/>
        </w:rPr>
        <w:t>Classification of data in the climate change impact category:</w:t>
      </w:r>
    </w:p>
    <w:tbl>
      <w:tblPr>
        <w:tblStyle w:val="TableGrid"/>
        <w:tblW w:w="0" w:type="auto"/>
        <w:tblBorders>
          <w:bottom w:val="none" w:sz="0" w:space="0" w:color="auto"/>
        </w:tblBorders>
        <w:tblLook w:val="04A0" w:firstRow="1" w:lastRow="0" w:firstColumn="1" w:lastColumn="0" w:noHBand="0" w:noVBand="1"/>
      </w:tblPr>
      <w:tblGrid>
        <w:gridCol w:w="2972"/>
        <w:gridCol w:w="2977"/>
        <w:gridCol w:w="3079"/>
      </w:tblGrid>
      <w:tr w:rsidR="00EC44A2" w:rsidRPr="00207B36" w:rsidTr="00EC44A2">
        <w:tc>
          <w:tcPr>
            <w:tcW w:w="2972"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Carbon Dioxide</w:t>
            </w:r>
          </w:p>
        </w:tc>
        <w:tc>
          <w:tcPr>
            <w:tcW w:w="2977"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CO2</w:t>
            </w:r>
          </w:p>
        </w:tc>
        <w:tc>
          <w:tcPr>
            <w:tcW w:w="3079"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Yes</w:t>
            </w:r>
          </w:p>
        </w:tc>
      </w:tr>
      <w:tr w:rsidR="00EC44A2" w:rsidRPr="00207B36" w:rsidTr="00EC44A2">
        <w:tc>
          <w:tcPr>
            <w:tcW w:w="2972"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Methane</w:t>
            </w:r>
          </w:p>
        </w:tc>
        <w:tc>
          <w:tcPr>
            <w:tcW w:w="2977"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CH4</w:t>
            </w:r>
          </w:p>
        </w:tc>
        <w:tc>
          <w:tcPr>
            <w:tcW w:w="3079"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Yes</w:t>
            </w:r>
          </w:p>
        </w:tc>
      </w:tr>
      <w:tr w:rsidR="00EC44A2" w:rsidRPr="00207B36" w:rsidTr="00EC44A2">
        <w:tc>
          <w:tcPr>
            <w:tcW w:w="2972" w:type="dxa"/>
            <w:tcBorders>
              <w:bottom w:val="single" w:sz="4" w:space="0" w:color="auto"/>
            </w:tcBorders>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Sulphur Dioxide</w:t>
            </w:r>
          </w:p>
        </w:tc>
        <w:tc>
          <w:tcPr>
            <w:tcW w:w="2977" w:type="dxa"/>
            <w:tcBorders>
              <w:bottom w:val="single" w:sz="4" w:space="0" w:color="auto"/>
            </w:tcBorders>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SO2</w:t>
            </w:r>
          </w:p>
        </w:tc>
        <w:tc>
          <w:tcPr>
            <w:tcW w:w="3079" w:type="dxa"/>
            <w:tcBorders>
              <w:bottom w:val="single" w:sz="4" w:space="0" w:color="auto"/>
            </w:tcBorders>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No</w:t>
            </w:r>
          </w:p>
        </w:tc>
      </w:tr>
      <w:tr w:rsidR="00EC44A2" w:rsidRPr="00207B36" w:rsidTr="00EC44A2">
        <w:tc>
          <w:tcPr>
            <w:tcW w:w="2972" w:type="dxa"/>
            <w:tcBorders>
              <w:bottom w:val="single" w:sz="4" w:space="0" w:color="auto"/>
            </w:tcBorders>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Oxides of Nitrogen</w:t>
            </w:r>
          </w:p>
        </w:tc>
        <w:tc>
          <w:tcPr>
            <w:tcW w:w="2977" w:type="dxa"/>
            <w:tcBorders>
              <w:bottom w:val="single" w:sz="4" w:space="0" w:color="auto"/>
            </w:tcBorders>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NOx</w:t>
            </w:r>
          </w:p>
        </w:tc>
        <w:tc>
          <w:tcPr>
            <w:tcW w:w="3079" w:type="dxa"/>
            <w:tcBorders>
              <w:bottom w:val="single" w:sz="4" w:space="0" w:color="auto"/>
            </w:tcBorders>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No</w:t>
            </w:r>
          </w:p>
        </w:tc>
      </w:tr>
    </w:tbl>
    <w:p w:rsidR="00F67388" w:rsidRPr="00207B36" w:rsidRDefault="00F67388" w:rsidP="00207B36">
      <w:pPr>
        <w:widowControl w:val="0"/>
        <w:kinsoku w:val="0"/>
        <w:spacing w:after="0" w:line="480" w:lineRule="auto"/>
        <w:rPr>
          <w:rFonts w:ascii="Times New Roman" w:eastAsiaTheme="minorEastAsia" w:hAnsi="Times New Roman" w:cs="Times New Roman"/>
          <w:sz w:val="24"/>
          <w:szCs w:val="24"/>
          <w:lang w:val="en-US" w:eastAsia="en-IE"/>
        </w:rPr>
      </w:pPr>
    </w:p>
    <w:p w:rsidR="00A770B0" w:rsidRPr="00207B36" w:rsidRDefault="00EC44A2" w:rsidP="00207B36">
      <w:pPr>
        <w:widowControl w:val="0"/>
        <w:kinsoku w:val="0"/>
        <w:spacing w:after="0"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 xml:space="preserve">Table B: </w:t>
      </w:r>
      <w:r w:rsidR="00A770B0" w:rsidRPr="00207B36">
        <w:rPr>
          <w:rFonts w:ascii="Times New Roman" w:eastAsiaTheme="minorEastAsia" w:hAnsi="Times New Roman" w:cs="Times New Roman"/>
          <w:sz w:val="24"/>
          <w:szCs w:val="24"/>
          <w:lang w:val="en-US" w:eastAsia="en-IE"/>
        </w:rPr>
        <w:t>Classification of data in the</w:t>
      </w:r>
      <w:r w:rsidR="00F67388" w:rsidRPr="00207B36">
        <w:rPr>
          <w:rFonts w:ascii="Times New Roman" w:eastAsiaTheme="minorEastAsia" w:hAnsi="Times New Roman" w:cs="Times New Roman"/>
          <w:sz w:val="24"/>
          <w:szCs w:val="24"/>
          <w:lang w:val="en-US" w:eastAsia="en-IE"/>
        </w:rPr>
        <w:t xml:space="preserve"> acidification impact category:</w:t>
      </w:r>
    </w:p>
    <w:tbl>
      <w:tblPr>
        <w:tblStyle w:val="TableGrid"/>
        <w:tblW w:w="0" w:type="auto"/>
        <w:tblLook w:val="04A0" w:firstRow="1" w:lastRow="0" w:firstColumn="1" w:lastColumn="0" w:noHBand="0" w:noVBand="1"/>
      </w:tblPr>
      <w:tblGrid>
        <w:gridCol w:w="3009"/>
        <w:gridCol w:w="3009"/>
        <w:gridCol w:w="3010"/>
      </w:tblGrid>
      <w:tr w:rsidR="00EC44A2" w:rsidRPr="00207B36" w:rsidTr="00EC44A2">
        <w:tc>
          <w:tcPr>
            <w:tcW w:w="3009" w:type="dxa"/>
          </w:tcPr>
          <w:p w:rsidR="00EC44A2" w:rsidRPr="00207B36" w:rsidRDefault="00EC44A2"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Carbon Dioxide</w:t>
            </w:r>
          </w:p>
        </w:tc>
        <w:tc>
          <w:tcPr>
            <w:tcW w:w="3009"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CO2</w:t>
            </w:r>
          </w:p>
        </w:tc>
        <w:tc>
          <w:tcPr>
            <w:tcW w:w="3010"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No</w:t>
            </w:r>
          </w:p>
        </w:tc>
      </w:tr>
      <w:tr w:rsidR="00EC44A2" w:rsidRPr="00207B36" w:rsidTr="00EC44A2">
        <w:tc>
          <w:tcPr>
            <w:tcW w:w="3009" w:type="dxa"/>
          </w:tcPr>
          <w:p w:rsidR="00EC44A2" w:rsidRPr="00207B36" w:rsidRDefault="00EC44A2"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Methane</w:t>
            </w:r>
          </w:p>
        </w:tc>
        <w:tc>
          <w:tcPr>
            <w:tcW w:w="3009"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CH4</w:t>
            </w:r>
          </w:p>
        </w:tc>
        <w:tc>
          <w:tcPr>
            <w:tcW w:w="3010"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No</w:t>
            </w:r>
          </w:p>
        </w:tc>
      </w:tr>
      <w:tr w:rsidR="00EC44A2" w:rsidRPr="00207B36" w:rsidTr="00EC44A2">
        <w:tc>
          <w:tcPr>
            <w:tcW w:w="3009" w:type="dxa"/>
          </w:tcPr>
          <w:p w:rsidR="00EC44A2" w:rsidRPr="00207B36" w:rsidRDefault="00EC44A2"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Sulphur Dioxide</w:t>
            </w:r>
          </w:p>
        </w:tc>
        <w:tc>
          <w:tcPr>
            <w:tcW w:w="3009"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SO2</w:t>
            </w:r>
          </w:p>
        </w:tc>
        <w:tc>
          <w:tcPr>
            <w:tcW w:w="3010"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Yes</w:t>
            </w:r>
          </w:p>
        </w:tc>
      </w:tr>
      <w:tr w:rsidR="00EC44A2" w:rsidRPr="00207B36" w:rsidTr="00EC44A2">
        <w:tc>
          <w:tcPr>
            <w:tcW w:w="3009" w:type="dxa"/>
          </w:tcPr>
          <w:p w:rsidR="00EC44A2" w:rsidRPr="00207B36" w:rsidRDefault="00EC44A2"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Oxides of Nitrogen</w:t>
            </w:r>
          </w:p>
        </w:tc>
        <w:tc>
          <w:tcPr>
            <w:tcW w:w="3009"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NOx</w:t>
            </w:r>
          </w:p>
        </w:tc>
        <w:tc>
          <w:tcPr>
            <w:tcW w:w="3010" w:type="dxa"/>
          </w:tcPr>
          <w:p w:rsidR="00EC44A2" w:rsidRPr="00207B36" w:rsidRDefault="00EC44A2"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Yes</w:t>
            </w:r>
          </w:p>
        </w:tc>
      </w:tr>
    </w:tbl>
    <w:p w:rsidR="00A770B0" w:rsidRPr="00207B36" w:rsidRDefault="00A770B0" w:rsidP="00207B36">
      <w:pPr>
        <w:widowControl w:val="0"/>
        <w:kinsoku w:val="0"/>
        <w:spacing w:after="0" w:line="480" w:lineRule="auto"/>
        <w:rPr>
          <w:rFonts w:ascii="Times New Roman" w:eastAsiaTheme="minorEastAsia" w:hAnsi="Times New Roman" w:cs="Times New Roman"/>
          <w:sz w:val="24"/>
          <w:szCs w:val="24"/>
          <w:lang w:val="en-US" w:eastAsia="en-IE"/>
        </w:rPr>
        <w:sectPr w:rsidR="00A770B0" w:rsidRPr="00207B36" w:rsidSect="00524E7A">
          <w:footerReference w:type="first" r:id="rId11"/>
          <w:pgSz w:w="11918" w:h="16854"/>
          <w:pgMar w:top="1440" w:right="1440" w:bottom="1440" w:left="1440" w:header="720" w:footer="982" w:gutter="0"/>
          <w:cols w:space="720"/>
          <w:titlePg/>
          <w:docGrid w:linePitch="326"/>
        </w:sectPr>
      </w:pPr>
    </w:p>
    <w:p w:rsidR="00427B87" w:rsidRPr="00207B36" w:rsidRDefault="00427B87" w:rsidP="00207B36">
      <w:pPr>
        <w:spacing w:after="0" w:line="480" w:lineRule="auto"/>
        <w:rPr>
          <w:rFonts w:ascii="Times New Roman" w:eastAsiaTheme="minorEastAsia" w:hAnsi="Times New Roman" w:cs="Times New Roman"/>
          <w:sz w:val="24"/>
          <w:szCs w:val="24"/>
          <w:lang w:val="en-US" w:eastAsia="en-IE"/>
        </w:rPr>
      </w:pPr>
    </w:p>
    <w:p w:rsidR="00A770B0" w:rsidRPr="00207B36" w:rsidRDefault="00427B87" w:rsidP="00207B36">
      <w:pPr>
        <w:spacing w:line="480" w:lineRule="auto"/>
        <w:rPr>
          <w:rFonts w:ascii="Times New Roman" w:eastAsiaTheme="minorEastAsia" w:hAnsi="Times New Roman" w:cs="Times New Roman"/>
          <w:i/>
          <w:sz w:val="24"/>
          <w:szCs w:val="24"/>
          <w:lang w:val="en-US" w:eastAsia="en-IE"/>
        </w:rPr>
      </w:pPr>
      <w:r w:rsidRPr="00207B36">
        <w:rPr>
          <w:rFonts w:ascii="Times New Roman" w:eastAsiaTheme="minorEastAsia" w:hAnsi="Times New Roman" w:cs="Times New Roman"/>
          <w:i/>
          <w:sz w:val="24"/>
          <w:szCs w:val="24"/>
          <w:lang w:val="en-US" w:eastAsia="en-IE"/>
        </w:rPr>
        <w:t>(Source: European Commission, 2010)</w:t>
      </w:r>
    </w:p>
    <w:p w:rsidR="00C701B4" w:rsidRPr="00207B36" w:rsidRDefault="00C701B4" w:rsidP="00207B36">
      <w:pPr>
        <w:widowControl w:val="0"/>
        <w:kinsoku w:val="0"/>
        <w:spacing w:after="0"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 xml:space="preserve">Characterisation factor (CF) refers to the calculation of the magnitude of the contribution of each classified input/output to their respective impact categories, and aggregating the contributions within each category. </w:t>
      </w:r>
      <w:bookmarkStart w:id="3" w:name="_Hlk480146529"/>
      <w:r w:rsidRPr="00207B36">
        <w:rPr>
          <w:rFonts w:ascii="Times New Roman" w:eastAsiaTheme="minorEastAsia" w:hAnsi="Times New Roman" w:cs="Times New Roman"/>
          <w:sz w:val="24"/>
          <w:szCs w:val="24"/>
          <w:lang w:val="en-US" w:eastAsia="en-IE"/>
        </w:rPr>
        <w:t xml:space="preserve">This is carried out by multiplying the values in the assessment inventory by the relevant substance/resource specific characterization factor for each impact category. </w:t>
      </w:r>
      <w:bookmarkEnd w:id="3"/>
      <w:r w:rsidRPr="00207B36">
        <w:rPr>
          <w:rFonts w:ascii="Times New Roman" w:eastAsiaTheme="minorEastAsia" w:hAnsi="Times New Roman" w:cs="Times New Roman"/>
          <w:sz w:val="24"/>
          <w:szCs w:val="24"/>
          <w:lang w:val="en-US" w:eastAsia="en-IE"/>
        </w:rPr>
        <w:t xml:space="preserve">They represent the impact intensity of a substance relative to a common reference substance for a given impact category. For example, all greenhouse gas emissions inventoried are weighted in terms of their impact relative to carbon dioxide equivalent, which is the reference standard of this category. This allows for the aggregation of predicted impact potentials and expression in terms of a single equivalent substance for each impact category. For instance, global warming potential for methane equals 25 CO2 – </w:t>
      </w:r>
      <w:r w:rsidRPr="00207B36">
        <w:rPr>
          <w:rFonts w:ascii="Times New Roman" w:eastAsiaTheme="minorEastAsia" w:hAnsi="Times New Roman" w:cs="Times New Roman"/>
          <w:sz w:val="24"/>
          <w:szCs w:val="24"/>
          <w:lang w:val="en-US" w:eastAsia="en-IE"/>
        </w:rPr>
        <w:lastRenderedPageBreak/>
        <w:t>equivalents and its impact on global warming is thus 25 times higher than that of CO2</w:t>
      </w:r>
      <w:r w:rsidR="00927BE1" w:rsidRPr="00207B36">
        <w:rPr>
          <w:rFonts w:ascii="Times New Roman" w:hAnsi="Times New Roman" w:cs="Times New Roman"/>
          <w:sz w:val="24"/>
          <w:szCs w:val="24"/>
        </w:rPr>
        <w:t xml:space="preserve"> (</w:t>
      </w:r>
      <w:r w:rsidR="00927BE1" w:rsidRPr="00207B36">
        <w:rPr>
          <w:rFonts w:ascii="Times New Roman" w:eastAsiaTheme="minorEastAsia" w:hAnsi="Times New Roman" w:cs="Times New Roman"/>
          <w:sz w:val="24"/>
          <w:szCs w:val="24"/>
          <w:lang w:val="en-US" w:eastAsia="en-IE"/>
        </w:rPr>
        <w:t>European Commission, 2010)</w:t>
      </w:r>
      <w:r w:rsidRPr="00207B36">
        <w:rPr>
          <w:rFonts w:ascii="Times New Roman" w:eastAsiaTheme="minorEastAsia" w:hAnsi="Times New Roman" w:cs="Times New Roman"/>
          <w:sz w:val="24"/>
          <w:szCs w:val="24"/>
          <w:lang w:val="en-US" w:eastAsia="en-IE"/>
        </w:rPr>
        <w:t>.</w:t>
      </w:r>
    </w:p>
    <w:p w:rsidR="00C701B4" w:rsidRPr="00207B36" w:rsidRDefault="00C701B4" w:rsidP="00207B36">
      <w:pPr>
        <w:widowControl w:val="0"/>
        <w:kinsoku w:val="0"/>
        <w:spacing w:after="0" w:line="480" w:lineRule="auto"/>
        <w:rPr>
          <w:rFonts w:ascii="Times New Roman" w:eastAsiaTheme="minorEastAsia" w:hAnsi="Times New Roman" w:cs="Times New Roman"/>
          <w:i/>
          <w:sz w:val="24"/>
          <w:szCs w:val="24"/>
          <w:lang w:val="en-US" w:eastAsia="en-IE"/>
        </w:rPr>
      </w:pPr>
    </w:p>
    <w:p w:rsidR="00C701B4" w:rsidRPr="00207B36" w:rsidRDefault="00C701B4" w:rsidP="00207B36">
      <w:pPr>
        <w:widowControl w:val="0"/>
        <w:kinsoku w:val="0"/>
        <w:spacing w:after="0" w:line="480" w:lineRule="auto"/>
        <w:rPr>
          <w:rFonts w:ascii="Times New Roman" w:eastAsiaTheme="minorEastAsia" w:hAnsi="Times New Roman" w:cs="Times New Roman"/>
          <w:b/>
          <w:i/>
          <w:sz w:val="24"/>
          <w:szCs w:val="24"/>
          <w:lang w:val="en-US" w:eastAsia="en-IE"/>
        </w:rPr>
      </w:pPr>
      <w:r w:rsidRPr="00207B36">
        <w:rPr>
          <w:rFonts w:ascii="Times New Roman" w:eastAsiaTheme="minorEastAsia" w:hAnsi="Times New Roman" w:cs="Times New Roman"/>
          <w:b/>
          <w:i/>
          <w:sz w:val="24"/>
          <w:szCs w:val="24"/>
          <w:lang w:val="en-US" w:eastAsia="en-IE"/>
        </w:rPr>
        <w:t xml:space="preserve">Example: Calculation of EF impact assessment </w:t>
      </w:r>
    </w:p>
    <w:p w:rsidR="00425C71" w:rsidRPr="00207B36" w:rsidRDefault="00425C71" w:rsidP="00207B36">
      <w:pPr>
        <w:widowControl w:val="0"/>
        <w:kinsoku w:val="0"/>
        <w:spacing w:after="0" w:line="480" w:lineRule="auto"/>
        <w:rPr>
          <w:rFonts w:ascii="Times New Roman" w:eastAsiaTheme="minorEastAsia" w:hAnsi="Times New Roman" w:cs="Times New Roman"/>
          <w:b/>
          <w:sz w:val="24"/>
          <w:szCs w:val="24"/>
          <w:lang w:val="en-US" w:eastAsia="en-IE"/>
        </w:rPr>
      </w:pPr>
    </w:p>
    <w:p w:rsidR="00FD4089" w:rsidRPr="00207B36" w:rsidRDefault="00FD4089" w:rsidP="00207B36">
      <w:pPr>
        <w:widowControl w:val="0"/>
        <w:kinsoku w:val="0"/>
        <w:spacing w:after="0"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 xml:space="preserve">In the following </w:t>
      </w:r>
      <w:r w:rsidR="00EC44A2" w:rsidRPr="00207B36">
        <w:rPr>
          <w:rFonts w:ascii="Times New Roman" w:eastAsiaTheme="minorEastAsia" w:hAnsi="Times New Roman" w:cs="Times New Roman"/>
          <w:sz w:val="24"/>
          <w:szCs w:val="24"/>
          <w:lang w:val="en-US" w:eastAsia="en-IE"/>
        </w:rPr>
        <w:t xml:space="preserve">Table C and Table D </w:t>
      </w:r>
      <w:r w:rsidRPr="00207B36">
        <w:rPr>
          <w:rFonts w:ascii="Times New Roman" w:eastAsiaTheme="minorEastAsia" w:hAnsi="Times New Roman" w:cs="Times New Roman"/>
          <w:sz w:val="24"/>
          <w:szCs w:val="24"/>
          <w:lang w:val="en-US" w:eastAsia="en-IE"/>
        </w:rPr>
        <w:t>illustration</w:t>
      </w:r>
      <w:r w:rsidR="00EC44A2" w:rsidRPr="00207B36">
        <w:rPr>
          <w:rFonts w:ascii="Times New Roman" w:eastAsiaTheme="minorEastAsia" w:hAnsi="Times New Roman" w:cs="Times New Roman"/>
          <w:sz w:val="24"/>
          <w:szCs w:val="24"/>
          <w:lang w:val="en-US" w:eastAsia="en-IE"/>
        </w:rPr>
        <w:t>s</w:t>
      </w:r>
      <w:r w:rsidRPr="00207B36">
        <w:rPr>
          <w:rFonts w:ascii="Times New Roman" w:eastAsiaTheme="minorEastAsia" w:hAnsi="Times New Roman" w:cs="Times New Roman"/>
          <w:sz w:val="24"/>
          <w:szCs w:val="24"/>
          <w:lang w:val="en-US" w:eastAsia="en-IE"/>
        </w:rPr>
        <w:t xml:space="preserve">, taking </w:t>
      </w:r>
      <w:r w:rsidR="00FF061B" w:rsidRPr="00207B36">
        <w:rPr>
          <w:rFonts w:ascii="Times New Roman" w:eastAsiaTheme="minorEastAsia" w:hAnsi="Times New Roman" w:cs="Times New Roman"/>
          <w:sz w:val="24"/>
          <w:szCs w:val="24"/>
          <w:lang w:val="en-US" w:eastAsia="en-IE"/>
        </w:rPr>
        <w:t xml:space="preserve">methane as an </w:t>
      </w:r>
      <w:r w:rsidRPr="00207B36">
        <w:rPr>
          <w:rFonts w:ascii="Times New Roman" w:eastAsiaTheme="minorEastAsia" w:hAnsi="Times New Roman" w:cs="Times New Roman"/>
          <w:sz w:val="24"/>
          <w:szCs w:val="24"/>
          <w:lang w:val="en-US" w:eastAsia="en-IE"/>
        </w:rPr>
        <w:t xml:space="preserve">example, </w:t>
      </w:r>
      <w:r w:rsidR="00FF061B" w:rsidRPr="00207B36">
        <w:rPr>
          <w:rFonts w:ascii="Times New Roman" w:eastAsiaTheme="minorEastAsia" w:hAnsi="Times New Roman" w:cs="Times New Roman"/>
          <w:sz w:val="24"/>
          <w:szCs w:val="24"/>
          <w:lang w:val="en-US" w:eastAsia="en-IE"/>
        </w:rPr>
        <w:t xml:space="preserve">emission </w:t>
      </w:r>
      <w:r w:rsidRPr="00207B36">
        <w:rPr>
          <w:rFonts w:ascii="Times New Roman" w:eastAsiaTheme="minorEastAsia" w:hAnsi="Times New Roman" w:cs="Times New Roman"/>
          <w:sz w:val="24"/>
          <w:szCs w:val="24"/>
          <w:lang w:val="en-US" w:eastAsia="en-IE"/>
        </w:rPr>
        <w:t xml:space="preserve">value (8.2) in the assessment inventory is multiplied by the relevant substance/resource specific characterization factor (25) to get a common unit measure (0.205 carbon equivalent) that is </w:t>
      </w:r>
      <w:r w:rsidR="002244D0" w:rsidRPr="00207B36">
        <w:rPr>
          <w:rFonts w:ascii="Times New Roman" w:eastAsiaTheme="minorEastAsia" w:hAnsi="Times New Roman" w:cs="Times New Roman"/>
          <w:sz w:val="24"/>
          <w:szCs w:val="24"/>
          <w:lang w:val="en-US" w:eastAsia="en-IE"/>
        </w:rPr>
        <w:t xml:space="preserve">subsequently </w:t>
      </w:r>
      <w:r w:rsidRPr="00207B36">
        <w:rPr>
          <w:rFonts w:ascii="Times New Roman" w:eastAsiaTheme="minorEastAsia" w:hAnsi="Times New Roman" w:cs="Times New Roman"/>
          <w:sz w:val="24"/>
          <w:szCs w:val="24"/>
          <w:lang w:val="en-US" w:eastAsia="en-IE"/>
        </w:rPr>
        <w:t>easy to aggregate.</w:t>
      </w:r>
    </w:p>
    <w:p w:rsidR="00FD4089" w:rsidRPr="00207B36" w:rsidRDefault="00FD4089" w:rsidP="00207B36">
      <w:pPr>
        <w:widowControl w:val="0"/>
        <w:kinsoku w:val="0"/>
        <w:spacing w:after="0" w:line="480" w:lineRule="auto"/>
        <w:rPr>
          <w:rFonts w:ascii="Times New Roman" w:eastAsiaTheme="minorEastAsia" w:hAnsi="Times New Roman" w:cs="Times New Roman"/>
          <w:sz w:val="24"/>
          <w:szCs w:val="24"/>
          <w:lang w:val="en-US" w:eastAsia="en-IE"/>
        </w:rPr>
      </w:pPr>
    </w:p>
    <w:p w:rsidR="00C701B4" w:rsidRPr="00207B36" w:rsidRDefault="006F2691" w:rsidP="00207B36">
      <w:pPr>
        <w:widowControl w:val="0"/>
        <w:kinsoku w:val="0"/>
        <w:spacing w:after="0"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 xml:space="preserve">Table C: </w:t>
      </w:r>
      <w:r w:rsidR="000D7441" w:rsidRPr="00207B36">
        <w:rPr>
          <w:rFonts w:ascii="Times New Roman" w:eastAsiaTheme="minorEastAsia" w:hAnsi="Times New Roman" w:cs="Times New Roman"/>
          <w:sz w:val="24"/>
          <w:szCs w:val="24"/>
          <w:lang w:val="en-US" w:eastAsia="en-IE"/>
        </w:rPr>
        <w:t>Global warming CF</w:t>
      </w:r>
    </w:p>
    <w:tbl>
      <w:tblPr>
        <w:tblStyle w:val="TableGrid"/>
        <w:tblW w:w="0" w:type="auto"/>
        <w:tblLook w:val="04A0" w:firstRow="1" w:lastRow="0" w:firstColumn="1" w:lastColumn="0" w:noHBand="0" w:noVBand="1"/>
      </w:tblPr>
      <w:tblGrid>
        <w:gridCol w:w="3009"/>
        <w:gridCol w:w="2798"/>
        <w:gridCol w:w="3221"/>
      </w:tblGrid>
      <w:tr w:rsidR="006F2691" w:rsidRPr="00207B36" w:rsidTr="006F2691">
        <w:tc>
          <w:tcPr>
            <w:tcW w:w="3009"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Carbon Dioxide</w:t>
            </w:r>
          </w:p>
        </w:tc>
        <w:tc>
          <w:tcPr>
            <w:tcW w:w="2798"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CO2 g </w:t>
            </w:r>
          </w:p>
        </w:tc>
        <w:tc>
          <w:tcPr>
            <w:tcW w:w="3221" w:type="dxa"/>
          </w:tcPr>
          <w:p w:rsidR="006F2691" w:rsidRPr="00207B36" w:rsidRDefault="006F2691"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5,132 x 1 = 5.132 kg CO2eq</w:t>
            </w:r>
          </w:p>
        </w:tc>
      </w:tr>
      <w:tr w:rsidR="006F2691" w:rsidRPr="00207B36" w:rsidTr="006F2691">
        <w:tc>
          <w:tcPr>
            <w:tcW w:w="3009"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Methane</w:t>
            </w:r>
          </w:p>
        </w:tc>
        <w:tc>
          <w:tcPr>
            <w:tcW w:w="2798"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CH4 g </w:t>
            </w:r>
          </w:p>
        </w:tc>
        <w:tc>
          <w:tcPr>
            <w:tcW w:w="3221" w:type="dxa"/>
          </w:tcPr>
          <w:p w:rsidR="006F2691" w:rsidRPr="00207B36" w:rsidRDefault="006F2691"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8.2 x 25 = 0.205 kg CO2eq</w:t>
            </w:r>
          </w:p>
        </w:tc>
      </w:tr>
      <w:tr w:rsidR="006F2691" w:rsidRPr="00207B36" w:rsidTr="006F2691">
        <w:tc>
          <w:tcPr>
            <w:tcW w:w="3009"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Sulphur Dioxide</w:t>
            </w:r>
          </w:p>
        </w:tc>
        <w:tc>
          <w:tcPr>
            <w:tcW w:w="2798"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SO2 g </w:t>
            </w:r>
          </w:p>
        </w:tc>
        <w:tc>
          <w:tcPr>
            <w:tcW w:w="3221" w:type="dxa"/>
          </w:tcPr>
          <w:p w:rsidR="006F2691" w:rsidRPr="00207B36" w:rsidRDefault="006F2691"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3.9 x 0 = 0 kg CO2eq</w:t>
            </w:r>
          </w:p>
        </w:tc>
      </w:tr>
      <w:tr w:rsidR="006F2691" w:rsidRPr="00207B36" w:rsidTr="006F2691">
        <w:tc>
          <w:tcPr>
            <w:tcW w:w="3009"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Oxides of Nitrogen</w:t>
            </w:r>
          </w:p>
        </w:tc>
        <w:tc>
          <w:tcPr>
            <w:tcW w:w="2798"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NOx g </w:t>
            </w:r>
          </w:p>
        </w:tc>
        <w:tc>
          <w:tcPr>
            <w:tcW w:w="3221" w:type="dxa"/>
          </w:tcPr>
          <w:p w:rsidR="006F2691" w:rsidRPr="00207B36" w:rsidRDefault="006F2691"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26.8 x 0 = 0 kg CO2eq</w:t>
            </w:r>
          </w:p>
        </w:tc>
      </w:tr>
      <w:tr w:rsidR="006F2691" w:rsidRPr="00207B36" w:rsidTr="00B11C4E">
        <w:tc>
          <w:tcPr>
            <w:tcW w:w="5807" w:type="dxa"/>
            <w:gridSpan w:val="2"/>
          </w:tcPr>
          <w:p w:rsidR="006F2691" w:rsidRPr="00207B36" w:rsidRDefault="006F2691"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 xml:space="preserve"> Total = </w:t>
            </w:r>
          </w:p>
        </w:tc>
        <w:tc>
          <w:tcPr>
            <w:tcW w:w="3221" w:type="dxa"/>
          </w:tcPr>
          <w:p w:rsidR="006F2691" w:rsidRPr="00207B36" w:rsidRDefault="006F2691"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5.337 kg CO2eq</w:t>
            </w:r>
          </w:p>
        </w:tc>
      </w:tr>
    </w:tbl>
    <w:p w:rsidR="00C701B4" w:rsidRPr="00207B36" w:rsidRDefault="00C701B4" w:rsidP="00207B36">
      <w:pPr>
        <w:widowControl w:val="0"/>
        <w:kinsoku w:val="0"/>
        <w:spacing w:after="0" w:line="480" w:lineRule="auto"/>
        <w:rPr>
          <w:rFonts w:ascii="Times New Roman" w:eastAsiaTheme="minorEastAsia" w:hAnsi="Times New Roman" w:cs="Times New Roman"/>
          <w:sz w:val="24"/>
          <w:szCs w:val="24"/>
          <w:lang w:val="en-US" w:eastAsia="en-IE"/>
        </w:rPr>
      </w:pPr>
    </w:p>
    <w:p w:rsidR="000D7441" w:rsidRPr="00207B36" w:rsidRDefault="006F2691" w:rsidP="00207B36">
      <w:pPr>
        <w:widowControl w:val="0"/>
        <w:kinsoku w:val="0"/>
        <w:spacing w:after="0"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 xml:space="preserve">Table D: </w:t>
      </w:r>
      <w:r w:rsidR="00C701B4" w:rsidRPr="00207B36">
        <w:rPr>
          <w:rFonts w:ascii="Times New Roman" w:eastAsiaTheme="minorEastAsia" w:hAnsi="Times New Roman" w:cs="Times New Roman"/>
          <w:sz w:val="24"/>
          <w:szCs w:val="24"/>
          <w:lang w:val="en-US" w:eastAsia="en-IE"/>
        </w:rPr>
        <w:t xml:space="preserve">Acidification </w:t>
      </w:r>
      <w:r w:rsidR="000D7441" w:rsidRPr="00207B36">
        <w:rPr>
          <w:rFonts w:ascii="Times New Roman" w:eastAsiaTheme="minorEastAsia" w:hAnsi="Times New Roman" w:cs="Times New Roman"/>
          <w:sz w:val="24"/>
          <w:szCs w:val="24"/>
          <w:lang w:val="en-US" w:eastAsia="en-IE"/>
        </w:rPr>
        <w:t>CF</w:t>
      </w:r>
    </w:p>
    <w:tbl>
      <w:tblPr>
        <w:tblStyle w:val="TableGrid"/>
        <w:tblW w:w="0" w:type="auto"/>
        <w:tblLook w:val="04A0" w:firstRow="1" w:lastRow="0" w:firstColumn="1" w:lastColumn="0" w:noHBand="0" w:noVBand="1"/>
      </w:tblPr>
      <w:tblGrid>
        <w:gridCol w:w="3009"/>
        <w:gridCol w:w="2798"/>
        <w:gridCol w:w="3221"/>
      </w:tblGrid>
      <w:tr w:rsidR="006F2691" w:rsidRPr="00207B36" w:rsidTr="006F2691">
        <w:tc>
          <w:tcPr>
            <w:tcW w:w="3009"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Carbon Dioxide</w:t>
            </w:r>
          </w:p>
        </w:tc>
        <w:tc>
          <w:tcPr>
            <w:tcW w:w="2798"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CO2 g </w:t>
            </w:r>
          </w:p>
        </w:tc>
        <w:tc>
          <w:tcPr>
            <w:tcW w:w="3221" w:type="dxa"/>
          </w:tcPr>
          <w:p w:rsidR="006F2691" w:rsidRPr="00207B36" w:rsidRDefault="006F2691"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5,132 x 0 = 0 Mol H+ eq</w:t>
            </w:r>
          </w:p>
        </w:tc>
      </w:tr>
      <w:tr w:rsidR="006F2691" w:rsidRPr="00207B36" w:rsidTr="006F2691">
        <w:tc>
          <w:tcPr>
            <w:tcW w:w="3009"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Methane</w:t>
            </w:r>
          </w:p>
        </w:tc>
        <w:tc>
          <w:tcPr>
            <w:tcW w:w="2798"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CH4 g </w:t>
            </w:r>
          </w:p>
        </w:tc>
        <w:tc>
          <w:tcPr>
            <w:tcW w:w="3221" w:type="dxa"/>
          </w:tcPr>
          <w:p w:rsidR="006F2691" w:rsidRPr="00207B36" w:rsidRDefault="006F2691"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8.2 x 0 = 0 Mol H+ eq</w:t>
            </w:r>
          </w:p>
        </w:tc>
      </w:tr>
      <w:tr w:rsidR="006F2691" w:rsidRPr="00207B36" w:rsidTr="006F2691">
        <w:tc>
          <w:tcPr>
            <w:tcW w:w="3009"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Sulphur Dioxide</w:t>
            </w:r>
          </w:p>
        </w:tc>
        <w:tc>
          <w:tcPr>
            <w:tcW w:w="2798"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SO2 g </w:t>
            </w:r>
          </w:p>
        </w:tc>
        <w:tc>
          <w:tcPr>
            <w:tcW w:w="3221" w:type="dxa"/>
          </w:tcPr>
          <w:p w:rsidR="006F2691" w:rsidRPr="00207B36" w:rsidRDefault="006F2691"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3.9 x 1.31 = 0.005 Mol H+ eq</w:t>
            </w:r>
          </w:p>
        </w:tc>
      </w:tr>
      <w:tr w:rsidR="006F2691" w:rsidRPr="00207B36" w:rsidTr="006F2691">
        <w:tc>
          <w:tcPr>
            <w:tcW w:w="3009"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Oxides of Nitrogen</w:t>
            </w:r>
          </w:p>
        </w:tc>
        <w:tc>
          <w:tcPr>
            <w:tcW w:w="2798" w:type="dxa"/>
          </w:tcPr>
          <w:p w:rsidR="006F2691" w:rsidRPr="00207B36" w:rsidRDefault="006F2691"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NOx g </w:t>
            </w:r>
          </w:p>
        </w:tc>
        <w:tc>
          <w:tcPr>
            <w:tcW w:w="3221" w:type="dxa"/>
          </w:tcPr>
          <w:p w:rsidR="006F2691" w:rsidRPr="00207B36" w:rsidRDefault="006F2691"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26.8 x 0.74 = 0.019 Mol H+ eq</w:t>
            </w:r>
          </w:p>
        </w:tc>
      </w:tr>
      <w:tr w:rsidR="006F2691" w:rsidRPr="00207B36" w:rsidTr="000D7441">
        <w:trPr>
          <w:trHeight w:val="245"/>
        </w:trPr>
        <w:tc>
          <w:tcPr>
            <w:tcW w:w="5807" w:type="dxa"/>
            <w:gridSpan w:val="2"/>
          </w:tcPr>
          <w:p w:rsidR="006F2691" w:rsidRPr="00207B36" w:rsidRDefault="006F2691"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 xml:space="preserve"> Total = </w:t>
            </w:r>
          </w:p>
        </w:tc>
        <w:tc>
          <w:tcPr>
            <w:tcW w:w="3221" w:type="dxa"/>
          </w:tcPr>
          <w:p w:rsidR="006F2691" w:rsidRPr="00207B36" w:rsidRDefault="006F2691" w:rsidP="00207B36">
            <w:pPr>
              <w:widowControl w:val="0"/>
              <w:kinsoku w:val="0"/>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0.024kg Mol H+ eq</w:t>
            </w:r>
          </w:p>
        </w:tc>
      </w:tr>
    </w:tbl>
    <w:p w:rsidR="006035E5" w:rsidRPr="00207B36" w:rsidRDefault="006035E5" w:rsidP="00207B36">
      <w:pPr>
        <w:spacing w:line="480" w:lineRule="auto"/>
        <w:rPr>
          <w:rFonts w:ascii="Times New Roman" w:eastAsiaTheme="minorEastAsia" w:hAnsi="Times New Roman" w:cs="Times New Roman"/>
          <w:i/>
          <w:sz w:val="24"/>
          <w:szCs w:val="24"/>
          <w:lang w:val="en-US" w:eastAsia="en-IE"/>
        </w:rPr>
      </w:pPr>
    </w:p>
    <w:p w:rsidR="006035E5" w:rsidRPr="00207B36" w:rsidRDefault="006035E5" w:rsidP="00207B36">
      <w:pPr>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(Source: European Commission, 2010)</w:t>
      </w:r>
    </w:p>
    <w:p w:rsidR="006035E5" w:rsidRPr="00207B36" w:rsidRDefault="006035E5" w:rsidP="00207B36">
      <w:pPr>
        <w:spacing w:line="480" w:lineRule="auto"/>
        <w:rPr>
          <w:rFonts w:ascii="Times New Roman" w:eastAsiaTheme="minorEastAsia" w:hAnsi="Times New Roman" w:cs="Times New Roman"/>
          <w:b/>
          <w:i/>
          <w:sz w:val="24"/>
          <w:szCs w:val="24"/>
          <w:lang w:val="en-US" w:eastAsia="en-IE"/>
        </w:rPr>
      </w:pPr>
      <w:r w:rsidRPr="00207B36">
        <w:rPr>
          <w:rFonts w:ascii="Times New Roman" w:eastAsiaTheme="minorEastAsia" w:hAnsi="Times New Roman" w:cs="Times New Roman"/>
          <w:b/>
          <w:i/>
          <w:sz w:val="24"/>
          <w:szCs w:val="24"/>
          <w:lang w:val="en-US" w:eastAsia="en-IE"/>
        </w:rPr>
        <w:lastRenderedPageBreak/>
        <w:t>Results and conclusions of certain selected Environment Sustainability studies</w:t>
      </w:r>
    </w:p>
    <w:p w:rsidR="006035E5" w:rsidRPr="00207B36" w:rsidRDefault="006035E5" w:rsidP="00207B36">
      <w:pPr>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To curb significant climate change, and to adapt to a world of increasingly limited resources, it is critical to decouple economic growth from environment degradation. Ireland is in a strong position to use data, knowledge and innovation as the feedstock instead of oil, and produce more from less and harness opportunities</w:t>
      </w:r>
      <w:r w:rsidR="001C610D" w:rsidRPr="00207B36">
        <w:rPr>
          <w:rFonts w:ascii="Times New Roman" w:eastAsiaTheme="minorEastAsia" w:hAnsi="Times New Roman" w:cs="Times New Roman"/>
          <w:sz w:val="24"/>
          <w:szCs w:val="24"/>
          <w:lang w:val="en-US" w:eastAsia="en-IE"/>
        </w:rPr>
        <w:t xml:space="preserve"> in waste streams. For example through </w:t>
      </w:r>
      <w:r w:rsidRPr="00207B36">
        <w:rPr>
          <w:rFonts w:ascii="Times New Roman" w:eastAsiaTheme="minorEastAsia" w:hAnsi="Times New Roman" w:cs="Times New Roman"/>
          <w:sz w:val="24"/>
          <w:szCs w:val="24"/>
          <w:lang w:val="en-US" w:eastAsia="en-IE"/>
        </w:rPr>
        <w:t>marine waste for biochemical conversion or forestry pulp for bioenergy creation (Devaney and Henchion, 2016).</w:t>
      </w:r>
    </w:p>
    <w:p w:rsidR="006035E5" w:rsidRPr="00207B36" w:rsidRDefault="006035E5" w:rsidP="00207B36">
      <w:pPr>
        <w:spacing w:line="480" w:lineRule="auto"/>
        <w:rPr>
          <w:rFonts w:ascii="Times New Roman" w:eastAsiaTheme="minorEastAsia" w:hAnsi="Times New Roman" w:cs="Times New Roman"/>
          <w:sz w:val="24"/>
          <w:szCs w:val="24"/>
          <w:lang w:val="en-US" w:eastAsia="en-IE"/>
        </w:rPr>
      </w:pPr>
      <w:r w:rsidRPr="00207B36">
        <w:rPr>
          <w:rFonts w:ascii="Times New Roman" w:eastAsiaTheme="minorEastAsia" w:hAnsi="Times New Roman" w:cs="Times New Roman"/>
          <w:sz w:val="24"/>
          <w:szCs w:val="24"/>
          <w:lang w:val="en-US" w:eastAsia="en-IE"/>
        </w:rPr>
        <w:t>However, many research findings reveal that regions with major production potential might be distant from the biomass/bioenergy markets in developed countries such as Ireland (Lauri et al., 2014). This has given birth to a controversy on the practicality of the bioeconomy to import biomass from areas of low food security into economically prosperous regions of world. Therefore, experts suggest developing a model that enables the impacts of the various factors (policy measures, land-use efficiency, crop productivity etc.) on the bioeconomic sector to be assessed. Therefore, sustainability assessment models should provide information ex-ante on potential impacts of these contributors on biomass sustainability, land-use patterns, resource use (e.g. water and phosphorus) and other indicators for sustainable development, such as job creation and GHG emissions (Lewandowski, 2015).</w:t>
      </w:r>
    </w:p>
    <w:p w:rsidR="006035E5" w:rsidRPr="00207B36" w:rsidRDefault="006035E5" w:rsidP="00207B36">
      <w:pPr>
        <w:spacing w:line="480" w:lineRule="auto"/>
        <w:rPr>
          <w:rFonts w:ascii="Times New Roman" w:eastAsiaTheme="minorEastAsia" w:hAnsi="Times New Roman" w:cs="Times New Roman"/>
          <w:sz w:val="24"/>
          <w:szCs w:val="24"/>
          <w:lang w:val="en-US" w:eastAsia="en-IE"/>
        </w:rPr>
      </w:pPr>
    </w:p>
    <w:p w:rsidR="00C701B4" w:rsidRPr="006035E5" w:rsidRDefault="00C701B4" w:rsidP="006035E5">
      <w:pPr>
        <w:rPr>
          <w:rFonts w:eastAsiaTheme="minorEastAsia" w:cs="Times New Roman"/>
          <w:sz w:val="24"/>
          <w:szCs w:val="24"/>
          <w:lang w:val="en-US" w:eastAsia="en-IE"/>
        </w:rPr>
        <w:sectPr w:rsidR="00C701B4" w:rsidRPr="006035E5" w:rsidSect="006035E5">
          <w:type w:val="continuous"/>
          <w:pgSz w:w="11918" w:h="16854"/>
          <w:pgMar w:top="1440" w:right="1440" w:bottom="1440" w:left="1440" w:header="720" w:footer="981" w:gutter="0"/>
          <w:cols w:space="720"/>
          <w:docGrid w:linePitch="299"/>
        </w:sectPr>
      </w:pPr>
    </w:p>
    <w:p w:rsidR="00CF263F" w:rsidRPr="00207B36" w:rsidRDefault="00A04905" w:rsidP="00207B36">
      <w:pPr>
        <w:spacing w:line="480" w:lineRule="auto"/>
        <w:rPr>
          <w:rFonts w:ascii="Times New Roman" w:hAnsi="Times New Roman" w:cs="Times New Roman"/>
          <w:b/>
          <w:sz w:val="24"/>
          <w:szCs w:val="24"/>
        </w:rPr>
      </w:pPr>
      <w:r w:rsidRPr="00207B36">
        <w:rPr>
          <w:rFonts w:ascii="Times New Roman" w:hAnsi="Times New Roman" w:cs="Times New Roman"/>
          <w:b/>
          <w:sz w:val="24"/>
          <w:szCs w:val="24"/>
        </w:rPr>
        <w:lastRenderedPageBreak/>
        <w:t xml:space="preserve">Section 3: </w:t>
      </w:r>
      <w:r w:rsidR="00CF263F" w:rsidRPr="00207B36">
        <w:rPr>
          <w:rFonts w:ascii="Times New Roman" w:hAnsi="Times New Roman" w:cs="Times New Roman"/>
          <w:b/>
          <w:sz w:val="24"/>
          <w:szCs w:val="24"/>
        </w:rPr>
        <w:t>Social Sustainability</w:t>
      </w:r>
    </w:p>
    <w:p w:rsidR="00CF263F" w:rsidRPr="00207B36" w:rsidRDefault="00577DFB"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Social </w:t>
      </w:r>
      <w:r w:rsidR="00CF263F" w:rsidRPr="00207B36">
        <w:rPr>
          <w:rFonts w:ascii="Times New Roman" w:hAnsi="Times New Roman" w:cs="Times New Roman"/>
          <w:sz w:val="24"/>
          <w:szCs w:val="24"/>
        </w:rPr>
        <w:t xml:space="preserve">sustainability is the ability of a community to develop processes and structures which not only meet the needs of its current members but also </w:t>
      </w:r>
      <w:r w:rsidRPr="00207B36">
        <w:rPr>
          <w:rFonts w:ascii="Times New Roman" w:hAnsi="Times New Roman" w:cs="Times New Roman"/>
          <w:sz w:val="24"/>
          <w:szCs w:val="24"/>
        </w:rPr>
        <w:t xml:space="preserve">support the </w:t>
      </w:r>
      <w:r w:rsidR="00CF263F" w:rsidRPr="00207B36">
        <w:rPr>
          <w:rFonts w:ascii="Times New Roman" w:hAnsi="Times New Roman" w:cs="Times New Roman"/>
          <w:sz w:val="24"/>
          <w:szCs w:val="24"/>
        </w:rPr>
        <w:t>future generations to maintain a viable community</w:t>
      </w:r>
      <w:r w:rsidRPr="00207B36">
        <w:rPr>
          <w:rFonts w:ascii="Times New Roman" w:hAnsi="Times New Roman" w:cs="Times New Roman"/>
          <w:sz w:val="24"/>
          <w:szCs w:val="24"/>
        </w:rPr>
        <w:t xml:space="preserve"> (Business Dictionary, 2017)</w:t>
      </w:r>
      <w:r w:rsidR="00CF263F" w:rsidRPr="00207B36">
        <w:rPr>
          <w:rFonts w:ascii="Times New Roman" w:hAnsi="Times New Roman" w:cs="Times New Roman"/>
          <w:sz w:val="24"/>
          <w:szCs w:val="24"/>
        </w:rPr>
        <w:t>.</w:t>
      </w:r>
    </w:p>
    <w:p w:rsidR="00CF263F" w:rsidRPr="00207B36" w:rsidRDefault="00CF263F" w:rsidP="00207B36">
      <w:pPr>
        <w:spacing w:line="480" w:lineRule="auto"/>
        <w:rPr>
          <w:rFonts w:ascii="Times New Roman" w:hAnsi="Times New Roman" w:cs="Times New Roman"/>
          <w:sz w:val="24"/>
          <w:szCs w:val="24"/>
        </w:rPr>
      </w:pPr>
    </w:p>
    <w:p w:rsidR="00CF263F" w:rsidRPr="00207B36" w:rsidRDefault="00CF263F" w:rsidP="00207B36">
      <w:pPr>
        <w:spacing w:line="480" w:lineRule="auto"/>
        <w:jc w:val="center"/>
        <w:rPr>
          <w:rFonts w:ascii="Times New Roman" w:hAnsi="Times New Roman" w:cs="Times New Roman"/>
          <w:sz w:val="24"/>
          <w:szCs w:val="24"/>
        </w:rPr>
      </w:pPr>
      <w:r w:rsidRPr="00207B36">
        <w:rPr>
          <w:rFonts w:ascii="Times New Roman" w:hAnsi="Times New Roman" w:cs="Times New Roman"/>
          <w:noProof/>
          <w:sz w:val="24"/>
          <w:szCs w:val="24"/>
          <w:lang w:eastAsia="en-GB"/>
        </w:rPr>
        <w:drawing>
          <wp:inline distT="0" distB="0" distL="0" distR="0" wp14:anchorId="78E6BEDB">
            <wp:extent cx="3676015" cy="33407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015" cy="3340735"/>
                    </a:xfrm>
                    <a:prstGeom prst="rect">
                      <a:avLst/>
                    </a:prstGeom>
                    <a:noFill/>
                  </pic:spPr>
                </pic:pic>
              </a:graphicData>
            </a:graphic>
          </wp:inline>
        </w:drawing>
      </w:r>
    </w:p>
    <w:p w:rsidR="00CF263F" w:rsidRPr="00207B36" w:rsidRDefault="00CD1B8C" w:rsidP="00207B36">
      <w:pPr>
        <w:spacing w:line="480" w:lineRule="auto"/>
        <w:jc w:val="center"/>
        <w:rPr>
          <w:rFonts w:ascii="Times New Roman" w:hAnsi="Times New Roman" w:cs="Times New Roman"/>
          <w:i/>
          <w:sz w:val="24"/>
          <w:szCs w:val="24"/>
        </w:rPr>
      </w:pPr>
      <w:r w:rsidRPr="00207B36">
        <w:rPr>
          <w:rFonts w:ascii="Times New Roman" w:hAnsi="Times New Roman" w:cs="Times New Roman"/>
          <w:i/>
          <w:sz w:val="24"/>
          <w:szCs w:val="24"/>
        </w:rPr>
        <w:t>Figure 2</w:t>
      </w:r>
      <w:r w:rsidR="00CF263F" w:rsidRPr="00207B36">
        <w:rPr>
          <w:rFonts w:ascii="Times New Roman" w:hAnsi="Times New Roman" w:cs="Times New Roman"/>
          <w:i/>
          <w:sz w:val="24"/>
          <w:szCs w:val="24"/>
        </w:rPr>
        <w:t>: Circles of Sustainability (Source: Magee et al., 2013)</w:t>
      </w:r>
    </w:p>
    <w:p w:rsidR="00CF263F" w:rsidRPr="00207B36" w:rsidRDefault="00CF263F" w:rsidP="00207B36">
      <w:pPr>
        <w:spacing w:line="480" w:lineRule="auto"/>
        <w:rPr>
          <w:rFonts w:ascii="Times New Roman" w:hAnsi="Times New Roman" w:cs="Times New Roman"/>
          <w:sz w:val="24"/>
          <w:szCs w:val="24"/>
        </w:rPr>
      </w:pPr>
    </w:p>
    <w:p w:rsidR="00CF263F" w:rsidRPr="00207B36" w:rsidRDefault="00CF263F"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A recent approach believes that all of the domains of sustainability are social: including ecological, economic, political and cultural sustainability (Magee et al., 2013). The social sustainability is defined as human embeddedness in the environment. Therefore, social sustainability encompasses all human activities, it is more than just focused intersection of economics, the environment and the social.</w:t>
      </w:r>
    </w:p>
    <w:p w:rsidR="00FB7DC3" w:rsidRPr="00207B36" w:rsidRDefault="00FB7DC3" w:rsidP="00207B36">
      <w:pPr>
        <w:spacing w:line="480" w:lineRule="auto"/>
        <w:rPr>
          <w:rFonts w:ascii="Times New Roman" w:hAnsi="Times New Roman" w:cs="Times New Roman"/>
          <w:b/>
          <w:i/>
          <w:sz w:val="24"/>
          <w:szCs w:val="24"/>
        </w:rPr>
      </w:pPr>
      <w:bookmarkStart w:id="4" w:name="_Hlk480640314"/>
      <w:r w:rsidRPr="00207B36">
        <w:rPr>
          <w:rFonts w:ascii="Times New Roman" w:hAnsi="Times New Roman" w:cs="Times New Roman"/>
          <w:b/>
          <w:i/>
          <w:sz w:val="24"/>
          <w:szCs w:val="24"/>
        </w:rPr>
        <w:lastRenderedPageBreak/>
        <w:t xml:space="preserve">Social Sustainability Criteria </w:t>
      </w:r>
      <w:r w:rsidR="00D24501" w:rsidRPr="00207B36">
        <w:rPr>
          <w:rFonts w:ascii="Times New Roman" w:hAnsi="Times New Roman" w:cs="Times New Roman"/>
          <w:b/>
          <w:i/>
          <w:sz w:val="24"/>
          <w:szCs w:val="24"/>
        </w:rPr>
        <w:t>development rationale</w:t>
      </w:r>
    </w:p>
    <w:bookmarkEnd w:id="4"/>
    <w:p w:rsidR="00FB7DC3" w:rsidRPr="00207B36" w:rsidRDefault="0044026B"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The f</w:t>
      </w:r>
      <w:r w:rsidR="00FB7DC3" w:rsidRPr="00207B36">
        <w:rPr>
          <w:rFonts w:ascii="Times New Roman" w:hAnsi="Times New Roman" w:cs="Times New Roman"/>
          <w:sz w:val="24"/>
          <w:szCs w:val="24"/>
        </w:rPr>
        <w:t>ollowing dimensions need to be accounted for in a holistic environment LCA assessment to estimate the approximate social benefits and costs for any value chain.</w:t>
      </w:r>
    </w:p>
    <w:p w:rsidR="00F90828" w:rsidRPr="00207B36" w:rsidRDefault="0094554A"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The primary basis for assessing public policies and the regulatory framework is the improved and sustainable delivery o</w:t>
      </w:r>
      <w:r w:rsidR="00EC60B7" w:rsidRPr="00207B36">
        <w:rPr>
          <w:rFonts w:ascii="Times New Roman" w:hAnsi="Times New Roman" w:cs="Times New Roman"/>
          <w:sz w:val="24"/>
          <w:szCs w:val="24"/>
        </w:rPr>
        <w:t>f those functions of economy (agriculture)</w:t>
      </w:r>
      <w:r w:rsidRPr="00207B36">
        <w:rPr>
          <w:rFonts w:ascii="Times New Roman" w:hAnsi="Times New Roman" w:cs="Times New Roman"/>
          <w:sz w:val="24"/>
          <w:szCs w:val="24"/>
        </w:rPr>
        <w:t xml:space="preserve"> for which there is a particular societal demand. However, several studies have argued against the classical evaluation tools like cost-benefit analysis for multifunctional</w:t>
      </w:r>
      <w:r w:rsidR="003B4D14" w:rsidRPr="00207B36">
        <w:rPr>
          <w:rFonts w:ascii="Times New Roman" w:hAnsi="Times New Roman" w:cs="Times New Roman"/>
          <w:sz w:val="24"/>
          <w:szCs w:val="24"/>
        </w:rPr>
        <w:t>/bioeconomy</w:t>
      </w:r>
      <w:r w:rsidRPr="00207B36">
        <w:rPr>
          <w:rFonts w:ascii="Times New Roman" w:hAnsi="Times New Roman" w:cs="Times New Roman"/>
          <w:sz w:val="24"/>
          <w:szCs w:val="24"/>
        </w:rPr>
        <w:t xml:space="preserve"> agriculture policies citing them to be limited in scope, and suggest the combinations of quantitative, qualitative, and consultative methods like local income and regional economy; regional agricultural sector, social equity and cohesion, local quality of life, rural population stability and local environment to be more comprehensive (Knickel and Kroger, 2008).</w:t>
      </w:r>
      <w:r w:rsidR="003B4D14" w:rsidRPr="00207B36">
        <w:rPr>
          <w:rFonts w:ascii="Times New Roman" w:hAnsi="Times New Roman" w:cs="Times New Roman"/>
          <w:sz w:val="24"/>
          <w:szCs w:val="24"/>
        </w:rPr>
        <w:t xml:space="preserve"> Therefore, this study includes socio-individual, socio-institutional, socio-economic and socio-environmental aspects to assess the social sustainability of a particular value chain. </w:t>
      </w:r>
    </w:p>
    <w:p w:rsidR="00F90828" w:rsidRPr="00207B36" w:rsidRDefault="00F90828"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The sustainability framework developed by USEPA (USEPA, 2012), which </w:t>
      </w:r>
      <w:r w:rsidR="004540D0" w:rsidRPr="00207B36">
        <w:rPr>
          <w:rFonts w:ascii="Times New Roman" w:hAnsi="Times New Roman" w:cs="Times New Roman"/>
          <w:sz w:val="24"/>
          <w:szCs w:val="24"/>
        </w:rPr>
        <w:t xml:space="preserve">includes </w:t>
      </w:r>
      <w:r w:rsidRPr="00207B36">
        <w:rPr>
          <w:rFonts w:ascii="Times New Roman" w:hAnsi="Times New Roman" w:cs="Times New Roman"/>
          <w:sz w:val="24"/>
          <w:szCs w:val="24"/>
        </w:rPr>
        <w:t>an integrated</w:t>
      </w:r>
      <w:r w:rsidR="004540D0" w:rsidRPr="00207B36">
        <w:rPr>
          <w:rFonts w:ascii="Times New Roman" w:hAnsi="Times New Roman" w:cs="Times New Roman"/>
          <w:sz w:val="24"/>
          <w:szCs w:val="24"/>
        </w:rPr>
        <w:t xml:space="preserve"> and comprehensive</w:t>
      </w:r>
      <w:r w:rsidRPr="00207B36">
        <w:rPr>
          <w:rFonts w:ascii="Times New Roman" w:hAnsi="Times New Roman" w:cs="Times New Roman"/>
          <w:sz w:val="24"/>
          <w:szCs w:val="24"/>
        </w:rPr>
        <w:t xml:space="preserve"> approach for </w:t>
      </w:r>
      <w:r w:rsidR="004540D0" w:rsidRPr="00207B36">
        <w:rPr>
          <w:rFonts w:ascii="Times New Roman" w:hAnsi="Times New Roman" w:cs="Times New Roman"/>
          <w:sz w:val="24"/>
          <w:szCs w:val="24"/>
        </w:rPr>
        <w:t xml:space="preserve">social </w:t>
      </w:r>
      <w:r w:rsidRPr="00207B36">
        <w:rPr>
          <w:rFonts w:ascii="Times New Roman" w:hAnsi="Times New Roman" w:cs="Times New Roman"/>
          <w:sz w:val="24"/>
          <w:szCs w:val="24"/>
        </w:rPr>
        <w:t>sustainability evaluation, formed the basis o</w:t>
      </w:r>
      <w:r w:rsidR="004540D0" w:rsidRPr="00207B36">
        <w:rPr>
          <w:rFonts w:ascii="Times New Roman" w:hAnsi="Times New Roman" w:cs="Times New Roman"/>
          <w:sz w:val="24"/>
          <w:szCs w:val="24"/>
        </w:rPr>
        <w:t>f</w:t>
      </w:r>
      <w:r w:rsidR="00FC3AA1" w:rsidRPr="00207B36">
        <w:rPr>
          <w:rFonts w:ascii="Times New Roman" w:hAnsi="Times New Roman" w:cs="Times New Roman"/>
          <w:sz w:val="24"/>
          <w:szCs w:val="24"/>
        </w:rPr>
        <w:t xml:space="preserve"> Social Sustainability Evaluation Matrix</w:t>
      </w:r>
      <w:r w:rsidR="004540D0" w:rsidRPr="00207B36">
        <w:rPr>
          <w:rFonts w:ascii="Times New Roman" w:hAnsi="Times New Roman" w:cs="Times New Roman"/>
          <w:sz w:val="24"/>
          <w:szCs w:val="24"/>
        </w:rPr>
        <w:t xml:space="preserve"> </w:t>
      </w:r>
      <w:r w:rsidR="00FC3AA1" w:rsidRPr="00207B36">
        <w:rPr>
          <w:rFonts w:ascii="Times New Roman" w:hAnsi="Times New Roman" w:cs="Times New Roman"/>
          <w:sz w:val="24"/>
          <w:szCs w:val="24"/>
        </w:rPr>
        <w:t>(</w:t>
      </w:r>
      <w:r w:rsidR="004540D0" w:rsidRPr="00207B36">
        <w:rPr>
          <w:rFonts w:ascii="Times New Roman" w:hAnsi="Times New Roman" w:cs="Times New Roman"/>
          <w:sz w:val="24"/>
          <w:szCs w:val="24"/>
        </w:rPr>
        <w:t>SSEM</w:t>
      </w:r>
      <w:r w:rsidR="00FC3AA1" w:rsidRPr="00207B36">
        <w:rPr>
          <w:rFonts w:ascii="Times New Roman" w:hAnsi="Times New Roman" w:cs="Times New Roman"/>
          <w:sz w:val="24"/>
          <w:szCs w:val="24"/>
        </w:rPr>
        <w:t>)</w:t>
      </w:r>
      <w:r w:rsidR="004540D0" w:rsidRPr="00207B36">
        <w:rPr>
          <w:rFonts w:ascii="Times New Roman" w:hAnsi="Times New Roman" w:cs="Times New Roman"/>
          <w:sz w:val="24"/>
          <w:szCs w:val="24"/>
        </w:rPr>
        <w:t xml:space="preserve"> development (Reddy et al., 2014)</w:t>
      </w:r>
      <w:r w:rsidRPr="00207B36">
        <w:rPr>
          <w:rFonts w:ascii="Times New Roman" w:hAnsi="Times New Roman" w:cs="Times New Roman"/>
          <w:sz w:val="24"/>
          <w:szCs w:val="24"/>
        </w:rPr>
        <w:t xml:space="preserve">. The socio-individual and socio-institutional dimensions encompass indicators that pertain to overall impacts on standard of living, education, population growth, justice and equality, community involvement, and fostering local heritage. The socioeconomic dimension </w:t>
      </w:r>
      <w:r w:rsidR="004540D0" w:rsidRPr="00207B36">
        <w:rPr>
          <w:rFonts w:ascii="Times New Roman" w:hAnsi="Times New Roman" w:cs="Times New Roman"/>
          <w:sz w:val="24"/>
          <w:szCs w:val="24"/>
        </w:rPr>
        <w:t xml:space="preserve">comprises indicators relating </w:t>
      </w:r>
      <w:r w:rsidRPr="00207B36">
        <w:rPr>
          <w:rFonts w:ascii="Times New Roman" w:hAnsi="Times New Roman" w:cs="Times New Roman"/>
          <w:sz w:val="24"/>
          <w:szCs w:val="24"/>
        </w:rPr>
        <w:t xml:space="preserve">to business ethics, fair trade and worker’s rights. The socio-environmental dimension accounts for the consumption of natural resources, environmental management, and pollution prevention in all environmental media such as air, water, land and waste. The incorporation of all four social dimensions and their corresponding indicators into the SSEM tool is perceived </w:t>
      </w:r>
      <w:r w:rsidR="00FC3AA1" w:rsidRPr="00207B36">
        <w:rPr>
          <w:rFonts w:ascii="Times New Roman" w:hAnsi="Times New Roman" w:cs="Times New Roman"/>
          <w:sz w:val="24"/>
          <w:szCs w:val="24"/>
        </w:rPr>
        <w:t xml:space="preserve">by </w:t>
      </w:r>
      <w:r w:rsidRPr="00207B36">
        <w:rPr>
          <w:rFonts w:ascii="Times New Roman" w:hAnsi="Times New Roman" w:cs="Times New Roman"/>
          <w:sz w:val="24"/>
          <w:szCs w:val="24"/>
        </w:rPr>
        <w:lastRenderedPageBreak/>
        <w:t>ICSI 2014: Creating Infrastructure for a Sust</w:t>
      </w:r>
      <w:r w:rsidR="004540D0" w:rsidRPr="00207B36">
        <w:rPr>
          <w:rFonts w:ascii="Times New Roman" w:hAnsi="Times New Roman" w:cs="Times New Roman"/>
          <w:sz w:val="24"/>
          <w:szCs w:val="24"/>
        </w:rPr>
        <w:t>ainable World</w:t>
      </w:r>
      <w:r w:rsidR="00FC3AA1" w:rsidRPr="00207B36">
        <w:rPr>
          <w:rFonts w:ascii="Times New Roman" w:hAnsi="Times New Roman" w:cs="Times New Roman"/>
          <w:sz w:val="24"/>
          <w:szCs w:val="24"/>
        </w:rPr>
        <w:t>,</w:t>
      </w:r>
      <w:r w:rsidR="004540D0" w:rsidRPr="00207B36">
        <w:rPr>
          <w:rFonts w:ascii="Times New Roman" w:hAnsi="Times New Roman" w:cs="Times New Roman"/>
          <w:sz w:val="24"/>
          <w:szCs w:val="24"/>
        </w:rPr>
        <w:t xml:space="preserve"> </w:t>
      </w:r>
      <w:r w:rsidRPr="00207B36">
        <w:rPr>
          <w:rFonts w:ascii="Times New Roman" w:hAnsi="Times New Roman" w:cs="Times New Roman"/>
          <w:sz w:val="24"/>
          <w:szCs w:val="24"/>
        </w:rPr>
        <w:t>to be best representative of the overall resulting social impacts through the entire life cycle of a project</w:t>
      </w:r>
      <w:r w:rsidR="004540D0" w:rsidRPr="00207B36">
        <w:rPr>
          <w:rFonts w:ascii="Times New Roman" w:hAnsi="Times New Roman" w:cs="Times New Roman"/>
          <w:sz w:val="24"/>
          <w:szCs w:val="24"/>
        </w:rPr>
        <w:t xml:space="preserve"> (Reddy et al., 2014)</w:t>
      </w:r>
      <w:r w:rsidR="00FC3AA1" w:rsidRPr="00207B36">
        <w:rPr>
          <w:rFonts w:ascii="Times New Roman" w:hAnsi="Times New Roman" w:cs="Times New Roman"/>
          <w:sz w:val="24"/>
          <w:szCs w:val="24"/>
        </w:rPr>
        <w:t xml:space="preserve">. The </w:t>
      </w:r>
      <w:r w:rsidRPr="00207B36">
        <w:rPr>
          <w:rFonts w:ascii="Times New Roman" w:hAnsi="Times New Roman" w:cs="Times New Roman"/>
          <w:sz w:val="24"/>
          <w:szCs w:val="24"/>
        </w:rPr>
        <w:t xml:space="preserve">SSEM is </w:t>
      </w:r>
      <w:r w:rsidR="004540D0" w:rsidRPr="00207B36">
        <w:rPr>
          <w:rFonts w:ascii="Times New Roman" w:hAnsi="Times New Roman" w:cs="Times New Roman"/>
          <w:sz w:val="24"/>
          <w:szCs w:val="24"/>
        </w:rPr>
        <w:t xml:space="preserve">excel based and therefore </w:t>
      </w:r>
      <w:r w:rsidRPr="00207B36">
        <w:rPr>
          <w:rFonts w:ascii="Times New Roman" w:hAnsi="Times New Roman" w:cs="Times New Roman"/>
          <w:sz w:val="24"/>
          <w:szCs w:val="24"/>
        </w:rPr>
        <w:t>flexible and accommodates the use of additional key areas to facilitate project</w:t>
      </w:r>
      <w:r w:rsidR="004540D0" w:rsidRPr="00207B36">
        <w:rPr>
          <w:rFonts w:ascii="Times New Roman" w:hAnsi="Times New Roman" w:cs="Times New Roman"/>
          <w:sz w:val="24"/>
          <w:szCs w:val="24"/>
        </w:rPr>
        <w:t xml:space="preserve"> </w:t>
      </w:r>
      <w:r w:rsidRPr="00207B36">
        <w:rPr>
          <w:rFonts w:ascii="Times New Roman" w:hAnsi="Times New Roman" w:cs="Times New Roman"/>
          <w:sz w:val="24"/>
          <w:szCs w:val="24"/>
        </w:rPr>
        <w:t xml:space="preserve">specific </w:t>
      </w:r>
      <w:r w:rsidR="003C6C57" w:rsidRPr="00207B36">
        <w:rPr>
          <w:rFonts w:ascii="Times New Roman" w:hAnsi="Times New Roman" w:cs="Times New Roman"/>
          <w:sz w:val="24"/>
          <w:szCs w:val="24"/>
        </w:rPr>
        <w:t xml:space="preserve">criteria </w:t>
      </w:r>
      <w:r w:rsidRPr="00207B36">
        <w:rPr>
          <w:rFonts w:ascii="Times New Roman" w:hAnsi="Times New Roman" w:cs="Times New Roman"/>
          <w:sz w:val="24"/>
          <w:szCs w:val="24"/>
        </w:rPr>
        <w:t>application and quantification of the social impacts.</w:t>
      </w:r>
      <w:r w:rsidR="00F57817" w:rsidRPr="00207B36">
        <w:rPr>
          <w:rFonts w:ascii="Times New Roman" w:hAnsi="Times New Roman" w:cs="Times New Roman"/>
          <w:sz w:val="24"/>
          <w:szCs w:val="24"/>
        </w:rPr>
        <w:t xml:space="preserve"> While, </w:t>
      </w:r>
      <w:r w:rsidR="00C07918" w:rsidRPr="00207B36">
        <w:rPr>
          <w:rFonts w:ascii="Times New Roman" w:hAnsi="Times New Roman" w:cs="Times New Roman"/>
          <w:sz w:val="24"/>
          <w:szCs w:val="24"/>
        </w:rPr>
        <w:t xml:space="preserve">SSEM might be a </w:t>
      </w:r>
      <w:r w:rsidR="00F57817" w:rsidRPr="00207B36">
        <w:rPr>
          <w:rFonts w:ascii="Times New Roman" w:hAnsi="Times New Roman" w:cs="Times New Roman"/>
          <w:sz w:val="24"/>
          <w:szCs w:val="24"/>
        </w:rPr>
        <w:t>simplistic method to generate information but it overcomes the ethical issues of scientists making decisions for the masses</w:t>
      </w:r>
      <w:r w:rsidR="00C07918" w:rsidRPr="00207B36">
        <w:rPr>
          <w:rFonts w:ascii="Times New Roman" w:hAnsi="Times New Roman" w:cs="Times New Roman"/>
          <w:sz w:val="24"/>
          <w:szCs w:val="24"/>
        </w:rPr>
        <w:t>,</w:t>
      </w:r>
      <w:r w:rsidR="00F57817" w:rsidRPr="00207B36">
        <w:rPr>
          <w:rFonts w:ascii="Times New Roman" w:hAnsi="Times New Roman" w:cs="Times New Roman"/>
          <w:sz w:val="24"/>
          <w:szCs w:val="24"/>
        </w:rPr>
        <w:t xml:space="preserve"> </w:t>
      </w:r>
      <w:r w:rsidR="00C07918" w:rsidRPr="00207B36">
        <w:rPr>
          <w:rFonts w:ascii="Times New Roman" w:hAnsi="Times New Roman" w:cs="Times New Roman"/>
          <w:sz w:val="24"/>
          <w:szCs w:val="24"/>
        </w:rPr>
        <w:t>through</w:t>
      </w:r>
      <w:r w:rsidR="00F57817" w:rsidRPr="00207B36">
        <w:rPr>
          <w:rFonts w:ascii="Times New Roman" w:hAnsi="Times New Roman" w:cs="Times New Roman"/>
          <w:sz w:val="24"/>
          <w:szCs w:val="24"/>
        </w:rPr>
        <w:t xml:space="preserve"> a time and cost effective </w:t>
      </w:r>
      <w:r w:rsidR="00C07918" w:rsidRPr="00207B36">
        <w:rPr>
          <w:rFonts w:ascii="Times New Roman" w:hAnsi="Times New Roman" w:cs="Times New Roman"/>
          <w:sz w:val="24"/>
          <w:szCs w:val="24"/>
        </w:rPr>
        <w:t>metho</w:t>
      </w:r>
      <w:r w:rsidR="00F57817" w:rsidRPr="00207B36">
        <w:rPr>
          <w:rFonts w:ascii="Times New Roman" w:hAnsi="Times New Roman" w:cs="Times New Roman"/>
          <w:sz w:val="24"/>
          <w:szCs w:val="24"/>
        </w:rPr>
        <w:t xml:space="preserve">d (Current author). </w:t>
      </w:r>
      <w:r w:rsidR="00211A87" w:rsidRPr="00207B36">
        <w:rPr>
          <w:rFonts w:ascii="Times New Roman" w:hAnsi="Times New Roman" w:cs="Times New Roman"/>
          <w:sz w:val="24"/>
          <w:szCs w:val="24"/>
        </w:rPr>
        <w:t>SSEM has found a number of applications to compare, assess and allow for informed decisions on environmental remedial projects, including an Indian ridge marsh project (</w:t>
      </w:r>
      <w:r w:rsidR="006E27AA" w:rsidRPr="00207B36">
        <w:rPr>
          <w:rFonts w:ascii="Times New Roman" w:hAnsi="Times New Roman" w:cs="Times New Roman"/>
          <w:sz w:val="24"/>
          <w:szCs w:val="24"/>
        </w:rPr>
        <w:t>Harclerode et al., 2015</w:t>
      </w:r>
      <w:r w:rsidR="00211A87" w:rsidRPr="00207B36">
        <w:rPr>
          <w:rFonts w:ascii="Times New Roman" w:hAnsi="Times New Roman" w:cs="Times New Roman"/>
          <w:sz w:val="24"/>
          <w:szCs w:val="24"/>
        </w:rPr>
        <w:t>).</w:t>
      </w:r>
    </w:p>
    <w:p w:rsidR="00F90828" w:rsidRPr="00207B36" w:rsidRDefault="00F90828" w:rsidP="00207B36">
      <w:pPr>
        <w:spacing w:line="480" w:lineRule="auto"/>
        <w:rPr>
          <w:rFonts w:ascii="Times New Roman" w:hAnsi="Times New Roman" w:cs="Times New Roman"/>
          <w:sz w:val="24"/>
          <w:szCs w:val="24"/>
        </w:rPr>
      </w:pPr>
    </w:p>
    <w:p w:rsidR="00F90828" w:rsidRPr="00207B36" w:rsidRDefault="00F90828" w:rsidP="00207B36">
      <w:pPr>
        <w:spacing w:line="480" w:lineRule="auto"/>
        <w:rPr>
          <w:rFonts w:ascii="Times New Roman" w:hAnsi="Times New Roman" w:cs="Times New Roman"/>
          <w:sz w:val="24"/>
          <w:szCs w:val="24"/>
        </w:rPr>
      </w:pPr>
    </w:p>
    <w:p w:rsidR="00F90828" w:rsidRDefault="00F90828" w:rsidP="00FB7DC3">
      <w:pPr>
        <w:rPr>
          <w:sz w:val="24"/>
          <w:szCs w:val="24"/>
        </w:rPr>
      </w:pPr>
    </w:p>
    <w:p w:rsidR="00F90828" w:rsidRDefault="00F90828" w:rsidP="00FB7DC3">
      <w:pPr>
        <w:rPr>
          <w:sz w:val="24"/>
          <w:szCs w:val="24"/>
        </w:rPr>
      </w:pPr>
    </w:p>
    <w:p w:rsidR="00F90828" w:rsidRDefault="00F90828" w:rsidP="00FB7DC3">
      <w:pPr>
        <w:rPr>
          <w:sz w:val="24"/>
          <w:szCs w:val="24"/>
        </w:rPr>
      </w:pPr>
    </w:p>
    <w:p w:rsidR="00F90828" w:rsidRDefault="00F90828" w:rsidP="00FB7DC3">
      <w:pPr>
        <w:rPr>
          <w:sz w:val="24"/>
          <w:szCs w:val="24"/>
        </w:rPr>
      </w:pPr>
    </w:p>
    <w:p w:rsidR="00F90828" w:rsidRDefault="00F90828" w:rsidP="00FB7DC3">
      <w:pPr>
        <w:rPr>
          <w:sz w:val="24"/>
          <w:szCs w:val="24"/>
        </w:rPr>
      </w:pPr>
    </w:p>
    <w:p w:rsidR="00F90828" w:rsidRDefault="00F90828" w:rsidP="00FB7DC3">
      <w:pPr>
        <w:rPr>
          <w:sz w:val="24"/>
          <w:szCs w:val="24"/>
        </w:rPr>
      </w:pPr>
    </w:p>
    <w:p w:rsidR="00F90828" w:rsidRDefault="00F90828" w:rsidP="00FB7DC3">
      <w:pPr>
        <w:rPr>
          <w:sz w:val="24"/>
          <w:szCs w:val="24"/>
        </w:rPr>
      </w:pPr>
    </w:p>
    <w:p w:rsidR="00F90828" w:rsidRDefault="00F90828" w:rsidP="00FB7DC3">
      <w:pPr>
        <w:rPr>
          <w:sz w:val="24"/>
          <w:szCs w:val="24"/>
        </w:rPr>
      </w:pPr>
    </w:p>
    <w:p w:rsidR="00DE1FD6" w:rsidRDefault="00DE1FD6" w:rsidP="00DE1FD6">
      <w:pPr>
        <w:widowControl w:val="0"/>
        <w:kinsoku w:val="0"/>
        <w:spacing w:after="0" w:line="240" w:lineRule="auto"/>
        <w:rPr>
          <w:sz w:val="24"/>
          <w:szCs w:val="24"/>
        </w:rPr>
      </w:pPr>
    </w:p>
    <w:p w:rsidR="00207B36" w:rsidRDefault="00207B36" w:rsidP="00DE1FD6">
      <w:pPr>
        <w:widowControl w:val="0"/>
        <w:kinsoku w:val="0"/>
        <w:spacing w:after="0" w:line="240" w:lineRule="auto"/>
        <w:rPr>
          <w:rFonts w:ascii="Times New Roman" w:hAnsi="Times New Roman" w:cs="Times New Roman"/>
          <w:b/>
          <w:i/>
          <w:sz w:val="24"/>
          <w:szCs w:val="24"/>
        </w:rPr>
      </w:pPr>
    </w:p>
    <w:p w:rsidR="00207B36" w:rsidRDefault="00207B36" w:rsidP="00DE1FD6">
      <w:pPr>
        <w:widowControl w:val="0"/>
        <w:kinsoku w:val="0"/>
        <w:spacing w:after="0" w:line="240" w:lineRule="auto"/>
        <w:rPr>
          <w:rFonts w:ascii="Times New Roman" w:hAnsi="Times New Roman" w:cs="Times New Roman"/>
          <w:b/>
          <w:i/>
          <w:sz w:val="24"/>
          <w:szCs w:val="24"/>
        </w:rPr>
      </w:pPr>
    </w:p>
    <w:p w:rsidR="00207B36" w:rsidRDefault="00207B36" w:rsidP="00DE1FD6">
      <w:pPr>
        <w:widowControl w:val="0"/>
        <w:kinsoku w:val="0"/>
        <w:spacing w:after="0" w:line="240" w:lineRule="auto"/>
        <w:rPr>
          <w:rFonts w:ascii="Times New Roman" w:hAnsi="Times New Roman" w:cs="Times New Roman"/>
          <w:b/>
          <w:i/>
          <w:sz w:val="24"/>
          <w:szCs w:val="24"/>
        </w:rPr>
      </w:pPr>
    </w:p>
    <w:p w:rsidR="00207B36" w:rsidRDefault="00207B36" w:rsidP="00DE1FD6">
      <w:pPr>
        <w:widowControl w:val="0"/>
        <w:kinsoku w:val="0"/>
        <w:spacing w:after="0" w:line="240" w:lineRule="auto"/>
        <w:rPr>
          <w:rFonts w:ascii="Times New Roman" w:hAnsi="Times New Roman" w:cs="Times New Roman"/>
          <w:b/>
          <w:i/>
          <w:sz w:val="24"/>
          <w:szCs w:val="24"/>
        </w:rPr>
      </w:pPr>
    </w:p>
    <w:p w:rsidR="00207B36" w:rsidRDefault="00207B36" w:rsidP="00DE1FD6">
      <w:pPr>
        <w:widowControl w:val="0"/>
        <w:kinsoku w:val="0"/>
        <w:spacing w:after="0" w:line="240" w:lineRule="auto"/>
        <w:rPr>
          <w:rFonts w:ascii="Times New Roman" w:hAnsi="Times New Roman" w:cs="Times New Roman"/>
          <w:b/>
          <w:i/>
          <w:sz w:val="24"/>
          <w:szCs w:val="24"/>
        </w:rPr>
      </w:pPr>
    </w:p>
    <w:p w:rsidR="00207B36" w:rsidRDefault="00207B36" w:rsidP="00DE1FD6">
      <w:pPr>
        <w:widowControl w:val="0"/>
        <w:kinsoku w:val="0"/>
        <w:spacing w:after="0" w:line="240" w:lineRule="auto"/>
        <w:rPr>
          <w:rFonts w:ascii="Times New Roman" w:hAnsi="Times New Roman" w:cs="Times New Roman"/>
          <w:b/>
          <w:i/>
          <w:sz w:val="24"/>
          <w:szCs w:val="24"/>
        </w:rPr>
      </w:pPr>
    </w:p>
    <w:p w:rsidR="00207B36" w:rsidRDefault="00207B36" w:rsidP="00DE1FD6">
      <w:pPr>
        <w:widowControl w:val="0"/>
        <w:kinsoku w:val="0"/>
        <w:spacing w:after="0" w:line="240" w:lineRule="auto"/>
        <w:rPr>
          <w:rFonts w:ascii="Times New Roman" w:hAnsi="Times New Roman" w:cs="Times New Roman"/>
          <w:b/>
          <w:i/>
          <w:sz w:val="24"/>
          <w:szCs w:val="24"/>
        </w:rPr>
      </w:pPr>
    </w:p>
    <w:p w:rsidR="00207B36" w:rsidRDefault="00207B36" w:rsidP="00DE1FD6">
      <w:pPr>
        <w:widowControl w:val="0"/>
        <w:kinsoku w:val="0"/>
        <w:spacing w:after="0" w:line="240" w:lineRule="auto"/>
        <w:rPr>
          <w:rFonts w:ascii="Times New Roman" w:hAnsi="Times New Roman" w:cs="Times New Roman"/>
          <w:b/>
          <w:i/>
          <w:sz w:val="24"/>
          <w:szCs w:val="24"/>
        </w:rPr>
      </w:pPr>
    </w:p>
    <w:p w:rsidR="00DE1FD6" w:rsidRPr="00207B36" w:rsidRDefault="00DE1FD6" w:rsidP="00DE1FD6">
      <w:pPr>
        <w:widowControl w:val="0"/>
        <w:kinsoku w:val="0"/>
        <w:spacing w:after="0" w:line="240" w:lineRule="auto"/>
        <w:rPr>
          <w:rFonts w:ascii="Times New Roman" w:hAnsi="Times New Roman" w:cs="Times New Roman"/>
          <w:b/>
          <w:i/>
          <w:sz w:val="24"/>
          <w:szCs w:val="24"/>
        </w:rPr>
      </w:pPr>
      <w:r w:rsidRPr="00207B36">
        <w:rPr>
          <w:rFonts w:ascii="Times New Roman" w:hAnsi="Times New Roman" w:cs="Times New Roman"/>
          <w:b/>
          <w:i/>
          <w:sz w:val="24"/>
          <w:szCs w:val="24"/>
        </w:rPr>
        <w:lastRenderedPageBreak/>
        <w:t xml:space="preserve">Table 4: Social Sustainability Criteria </w:t>
      </w:r>
    </w:p>
    <w:p w:rsidR="00DE1FD6" w:rsidRPr="00DE1FD6" w:rsidRDefault="00DE1FD6" w:rsidP="00DE1FD6">
      <w:pPr>
        <w:widowControl w:val="0"/>
        <w:tabs>
          <w:tab w:val="left" w:pos="945"/>
        </w:tabs>
        <w:kinsoku w:val="0"/>
        <w:spacing w:after="0" w:line="240" w:lineRule="auto"/>
        <w:rPr>
          <w:rFonts w:ascii="Times New Roman" w:eastAsiaTheme="minorEastAsia" w:hAnsi="Times New Roman" w:cs="Times New Roman"/>
          <w:sz w:val="24"/>
          <w:szCs w:val="24"/>
          <w:lang w:val="en-US" w:eastAsia="en-IE"/>
        </w:rPr>
      </w:pPr>
      <w:r w:rsidRPr="00DE1FD6">
        <w:rPr>
          <w:rFonts w:ascii="Times New Roman" w:eastAsiaTheme="minorEastAsia" w:hAnsi="Times New Roman" w:cs="Times New Roman"/>
          <w:sz w:val="24"/>
          <w:szCs w:val="24"/>
          <w:lang w:val="en-US" w:eastAsia="en-IE"/>
        </w:rPr>
        <w:tab/>
      </w:r>
    </w:p>
    <w:tbl>
      <w:tblPr>
        <w:tblW w:w="0" w:type="auto"/>
        <w:tblInd w:w="810" w:type="dxa"/>
        <w:tblLayout w:type="fixed"/>
        <w:tblCellMar>
          <w:left w:w="0" w:type="dxa"/>
          <w:right w:w="0" w:type="dxa"/>
        </w:tblCellMar>
        <w:tblLook w:val="04A0" w:firstRow="1" w:lastRow="0" w:firstColumn="1" w:lastColumn="0" w:noHBand="0" w:noVBand="1"/>
      </w:tblPr>
      <w:tblGrid>
        <w:gridCol w:w="1740"/>
        <w:gridCol w:w="6840"/>
      </w:tblGrid>
      <w:tr w:rsidR="00DE1FD6" w:rsidRPr="00DE1FD6" w:rsidTr="004C1733">
        <w:trPr>
          <w:trHeight w:val="269"/>
        </w:trPr>
        <w:tc>
          <w:tcPr>
            <w:tcW w:w="1740" w:type="dxa"/>
            <w:tcBorders>
              <w:top w:val="single" w:sz="8" w:space="0" w:color="auto"/>
              <w:left w:val="single" w:sz="8" w:space="0" w:color="auto"/>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8" w:lineRule="exact"/>
              <w:ind w:left="100"/>
              <w:rPr>
                <w:rFonts w:ascii="Times New Roman" w:eastAsiaTheme="minorEastAsia" w:hAnsi="Times New Roman" w:cs="Times New Roman"/>
                <w:sz w:val="24"/>
                <w:szCs w:val="24"/>
                <w:lang w:eastAsia="en-GB"/>
              </w:rPr>
            </w:pPr>
            <w:bookmarkStart w:id="5" w:name="_Hlk480139919"/>
            <w:bookmarkEnd w:id="5"/>
            <w:r w:rsidRPr="00DE1FD6">
              <w:rPr>
                <w:rFonts w:ascii="Times" w:eastAsiaTheme="minorEastAsia" w:hAnsi="Times" w:cs="Times"/>
                <w:sz w:val="24"/>
                <w:szCs w:val="24"/>
                <w:lang w:val="en-US" w:eastAsia="en-IE"/>
              </w:rPr>
              <w:t>Dimension</w:t>
            </w:r>
          </w:p>
        </w:tc>
        <w:tc>
          <w:tcPr>
            <w:tcW w:w="6840" w:type="dxa"/>
            <w:tcBorders>
              <w:top w:val="single" w:sz="8" w:space="0" w:color="auto"/>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8"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Key Theme Area</w:t>
            </w:r>
          </w:p>
        </w:tc>
      </w:tr>
      <w:tr w:rsidR="00DE1FD6" w:rsidRPr="00DE1FD6" w:rsidTr="004C1733">
        <w:trPr>
          <w:trHeight w:val="63"/>
        </w:trPr>
        <w:tc>
          <w:tcPr>
            <w:tcW w:w="1740" w:type="dxa"/>
            <w:tcBorders>
              <w:top w:val="nil"/>
              <w:left w:val="single" w:sz="8" w:space="0" w:color="auto"/>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5"/>
                <w:szCs w:val="5"/>
                <w:lang w:val="en-US" w:eastAsia="en-IE"/>
              </w:rPr>
            </w:pPr>
          </w:p>
        </w:tc>
        <w:tc>
          <w:tcPr>
            <w:tcW w:w="684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5"/>
                <w:szCs w:val="5"/>
                <w:lang w:val="en-US" w:eastAsia="en-IE"/>
              </w:rPr>
            </w:pPr>
          </w:p>
        </w:tc>
      </w:tr>
      <w:tr w:rsidR="00DE1FD6" w:rsidRPr="00DE1FD6" w:rsidTr="004C1733">
        <w:trPr>
          <w:trHeight w:val="258"/>
        </w:trPr>
        <w:tc>
          <w:tcPr>
            <w:tcW w:w="1740" w:type="dxa"/>
            <w:tcBorders>
              <w:top w:val="nil"/>
              <w:left w:val="single" w:sz="8" w:space="0" w:color="auto"/>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58"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Socio-</w:t>
            </w: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58"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Effect of proposed remediation on quality-of-life issues during and</w:t>
            </w:r>
          </w:p>
        </w:tc>
      </w:tr>
      <w:tr w:rsidR="00DE1FD6" w:rsidRPr="00DE1FD6" w:rsidTr="004C1733">
        <w:trPr>
          <w:trHeight w:val="279"/>
        </w:trPr>
        <w:tc>
          <w:tcPr>
            <w:tcW w:w="1740" w:type="dxa"/>
            <w:tcBorders>
              <w:top w:val="nil"/>
              <w:left w:val="single" w:sz="8" w:space="0" w:color="auto"/>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individual</w:t>
            </w: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post-construction/remediation</w:t>
            </w:r>
          </w:p>
        </w:tc>
      </w:tr>
      <w:tr w:rsidR="00DE1FD6" w:rsidRPr="00DE1FD6" w:rsidTr="004C1733">
        <w:trPr>
          <w:trHeight w:val="266"/>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6"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Crime</w:t>
            </w:r>
          </w:p>
        </w:tc>
      </w:tr>
      <w:tr w:rsidR="00DE1FD6" w:rsidRPr="00DE1FD6" w:rsidTr="004C1733">
        <w:trPr>
          <w:trHeight w:val="262"/>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1"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Cultural identity and promotion</w:t>
            </w:r>
          </w:p>
        </w:tc>
      </w:tr>
      <w:tr w:rsidR="00DE1FD6" w:rsidRPr="00DE1FD6" w:rsidTr="004C1733">
        <w:trPr>
          <w:trHeight w:val="65"/>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5"/>
                <w:szCs w:val="5"/>
                <w:lang w:val="en-US" w:eastAsia="en-IE"/>
              </w:rPr>
            </w:pPr>
          </w:p>
        </w:tc>
        <w:tc>
          <w:tcPr>
            <w:tcW w:w="684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5"/>
                <w:szCs w:val="5"/>
                <w:lang w:val="en-US" w:eastAsia="en-IE"/>
              </w:rPr>
            </w:pPr>
          </w:p>
        </w:tc>
      </w:tr>
      <w:tr w:rsidR="00DE1FD6" w:rsidRPr="00DE1FD6" w:rsidTr="004C1733">
        <w:trPr>
          <w:trHeight w:val="258"/>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58"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Overall public health and happiness</w:t>
            </w:r>
          </w:p>
        </w:tc>
      </w:tr>
      <w:tr w:rsidR="00DE1FD6" w:rsidRPr="00DE1FD6" w:rsidTr="004C1733">
        <w:trPr>
          <w:trHeight w:val="63"/>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5"/>
                <w:szCs w:val="5"/>
                <w:lang w:val="en-US" w:eastAsia="en-IE"/>
              </w:rPr>
            </w:pPr>
          </w:p>
        </w:tc>
        <w:tc>
          <w:tcPr>
            <w:tcW w:w="684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5"/>
                <w:szCs w:val="5"/>
                <w:lang w:val="en-US" w:eastAsia="en-IE"/>
              </w:rPr>
            </w:pPr>
          </w:p>
        </w:tc>
      </w:tr>
      <w:tr w:rsidR="00DE1FD6" w:rsidRPr="00DE1FD6" w:rsidTr="004C1733">
        <w:trPr>
          <w:trHeight w:val="258"/>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58"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Population demographics (age, income)</w:t>
            </w:r>
          </w:p>
        </w:tc>
      </w:tr>
      <w:tr w:rsidR="00DE1FD6" w:rsidRPr="00DE1FD6" w:rsidTr="004C1733">
        <w:trPr>
          <w:trHeight w:val="204"/>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17"/>
                <w:szCs w:val="17"/>
                <w:lang w:val="en-US" w:eastAsia="en-IE"/>
              </w:rPr>
            </w:pPr>
          </w:p>
        </w:tc>
        <w:tc>
          <w:tcPr>
            <w:tcW w:w="684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17"/>
                <w:szCs w:val="17"/>
                <w:lang w:val="en-US" w:eastAsia="en-IE"/>
              </w:rPr>
            </w:pPr>
          </w:p>
        </w:tc>
      </w:tr>
      <w:tr w:rsidR="00DE1FD6" w:rsidRPr="00DE1FD6" w:rsidTr="004C1733">
        <w:trPr>
          <w:trHeight w:val="262"/>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1"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Gender equity</w:t>
            </w:r>
          </w:p>
        </w:tc>
      </w:tr>
      <w:tr w:rsidR="00DE1FD6" w:rsidRPr="00DE1FD6" w:rsidTr="004C1733">
        <w:trPr>
          <w:trHeight w:val="266"/>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4"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Justice and equality</w:t>
            </w:r>
          </w:p>
        </w:tc>
      </w:tr>
      <w:tr w:rsidR="00DE1FD6" w:rsidRPr="00DE1FD6" w:rsidTr="004C1733">
        <w:trPr>
          <w:trHeight w:val="266"/>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4"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Care for the elderly</w:t>
            </w:r>
          </w:p>
        </w:tc>
      </w:tr>
      <w:tr w:rsidR="00DE1FD6" w:rsidRPr="00DE1FD6" w:rsidTr="004C1733">
        <w:trPr>
          <w:trHeight w:val="264"/>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3"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Care for those with special needs</w:t>
            </w:r>
          </w:p>
        </w:tc>
      </w:tr>
      <w:tr w:rsidR="00DE1FD6" w:rsidRPr="00DE1FD6" w:rsidTr="004C1733">
        <w:trPr>
          <w:trHeight w:val="63"/>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5"/>
                <w:szCs w:val="5"/>
                <w:lang w:val="en-US" w:eastAsia="en-IE"/>
              </w:rPr>
            </w:pPr>
          </w:p>
        </w:tc>
        <w:tc>
          <w:tcPr>
            <w:tcW w:w="684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5"/>
                <w:szCs w:val="5"/>
                <w:lang w:val="en-US" w:eastAsia="en-IE"/>
              </w:rPr>
            </w:pPr>
          </w:p>
        </w:tc>
      </w:tr>
      <w:tr w:rsidR="00DE1FD6" w:rsidRPr="00DE1FD6" w:rsidTr="004C1733">
        <w:trPr>
          <w:trHeight w:val="258"/>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58"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to which post-remediation project will result in skills</w:t>
            </w:r>
          </w:p>
        </w:tc>
      </w:tr>
      <w:tr w:rsidR="00DE1FD6" w:rsidRPr="00DE1FD6" w:rsidTr="004C1733">
        <w:trPr>
          <w:trHeight w:val="279"/>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development</w:t>
            </w:r>
          </w:p>
        </w:tc>
      </w:tr>
      <w:tr w:rsidR="00DE1FD6" w:rsidRPr="00DE1FD6" w:rsidTr="004C1733">
        <w:trPr>
          <w:trHeight w:val="262"/>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to which post remediation project will result in leadership</w:t>
            </w:r>
          </w:p>
        </w:tc>
      </w:tr>
      <w:tr w:rsidR="00DE1FD6" w:rsidRPr="00DE1FD6" w:rsidTr="004C1733">
        <w:trPr>
          <w:trHeight w:val="279"/>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development opportunities</w:t>
            </w:r>
          </w:p>
        </w:tc>
      </w:tr>
      <w:tr w:rsidR="00DE1FD6" w:rsidRPr="00DE1FD6" w:rsidTr="004C1733">
        <w:trPr>
          <w:trHeight w:val="262"/>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Enhancement of community/civic pride resulting remediation and</w:t>
            </w:r>
          </w:p>
        </w:tc>
      </w:tr>
      <w:tr w:rsidR="00DE1FD6" w:rsidRPr="00DE1FD6" w:rsidTr="004C1733">
        <w:trPr>
          <w:trHeight w:val="279"/>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post-remediation project</w:t>
            </w:r>
          </w:p>
        </w:tc>
      </w:tr>
      <w:tr w:rsidR="00DE1FD6" w:rsidRPr="00DE1FD6" w:rsidTr="004C1733">
        <w:trPr>
          <w:trHeight w:val="264"/>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3"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to which tangible community needs are incorporated</w:t>
            </w:r>
          </w:p>
        </w:tc>
      </w:tr>
      <w:tr w:rsidR="00DE1FD6" w:rsidRPr="00DE1FD6" w:rsidTr="004C1733">
        <w:trPr>
          <w:trHeight w:val="280"/>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40" w:lineRule="auto"/>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remediation design</w:t>
            </w:r>
          </w:p>
        </w:tc>
      </w:tr>
      <w:tr w:rsidR="00DE1FD6" w:rsidRPr="00DE1FD6" w:rsidTr="004C1733">
        <w:trPr>
          <w:trHeight w:val="262"/>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Transformation of perceptions of project and environs within greater</w:t>
            </w:r>
          </w:p>
        </w:tc>
      </w:tr>
      <w:tr w:rsidR="00DE1FD6" w:rsidRPr="00DE1FD6" w:rsidTr="004C1733">
        <w:trPr>
          <w:trHeight w:val="279"/>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community</w:t>
            </w:r>
          </w:p>
        </w:tc>
      </w:tr>
      <w:tr w:rsidR="00DE1FD6" w:rsidRPr="00DE1FD6" w:rsidTr="004C1733">
        <w:trPr>
          <w:trHeight w:val="262"/>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Potential of post-remediation project to enhance cultural diversity in</w:t>
            </w:r>
          </w:p>
        </w:tc>
      </w:tr>
      <w:tr w:rsidR="00DE1FD6" w:rsidRPr="00DE1FD6" w:rsidTr="004C1733">
        <w:trPr>
          <w:trHeight w:val="279"/>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community</w:t>
            </w:r>
          </w:p>
        </w:tc>
      </w:tr>
      <w:tr w:rsidR="00DE1FD6" w:rsidRPr="00DE1FD6" w:rsidTr="004C1733">
        <w:trPr>
          <w:trHeight w:val="262"/>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Potential of incorporating newcomers to community</w:t>
            </w:r>
          </w:p>
        </w:tc>
      </w:tr>
      <w:tr w:rsidR="00DE1FD6" w:rsidRPr="00DE1FD6" w:rsidTr="004C1733">
        <w:trPr>
          <w:trHeight w:val="63"/>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5"/>
                <w:szCs w:val="5"/>
                <w:lang w:val="en-US" w:eastAsia="en-IE"/>
              </w:rPr>
            </w:pPr>
          </w:p>
        </w:tc>
        <w:tc>
          <w:tcPr>
            <w:tcW w:w="684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5"/>
                <w:szCs w:val="5"/>
                <w:lang w:val="en-US" w:eastAsia="en-IE"/>
              </w:rPr>
            </w:pPr>
          </w:p>
        </w:tc>
      </w:tr>
      <w:tr w:rsidR="00DE1FD6" w:rsidRPr="00DE1FD6" w:rsidTr="004C1733">
        <w:trPr>
          <w:trHeight w:val="260"/>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0"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Potential of remediation to foster better health through enhanced</w:t>
            </w:r>
          </w:p>
        </w:tc>
      </w:tr>
      <w:tr w:rsidR="00DE1FD6" w:rsidRPr="00DE1FD6" w:rsidTr="004C1733">
        <w:trPr>
          <w:trHeight w:val="278"/>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73"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recreational opportunities</w:t>
            </w:r>
          </w:p>
        </w:tc>
      </w:tr>
      <w:tr w:rsidR="00DE1FD6" w:rsidRPr="00DE1FD6" w:rsidTr="004C1733">
        <w:trPr>
          <w:trHeight w:val="264"/>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3"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Enabling knowledge management (including access to E-</w:t>
            </w:r>
          </w:p>
        </w:tc>
      </w:tr>
      <w:tr w:rsidR="00DE1FD6" w:rsidRPr="00DE1FD6" w:rsidTr="004C1733">
        <w:trPr>
          <w:trHeight w:val="280"/>
        </w:trPr>
        <w:tc>
          <w:tcPr>
            <w:tcW w:w="1740" w:type="dxa"/>
            <w:tcBorders>
              <w:top w:val="nil"/>
              <w:left w:val="single" w:sz="8" w:space="0" w:color="auto"/>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40" w:lineRule="auto"/>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knowledge)</w:t>
            </w:r>
          </w:p>
        </w:tc>
      </w:tr>
      <w:tr w:rsidR="00DE1FD6" w:rsidRPr="00DE1FD6" w:rsidTr="004C1733">
        <w:trPr>
          <w:trHeight w:val="262"/>
        </w:trPr>
        <w:tc>
          <w:tcPr>
            <w:tcW w:w="1740" w:type="dxa"/>
            <w:tcBorders>
              <w:top w:val="nil"/>
              <w:left w:val="single" w:sz="8" w:space="0" w:color="auto"/>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Socio-</w:t>
            </w: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Appropriateness of future land use with respect to the community</w:t>
            </w:r>
          </w:p>
        </w:tc>
      </w:tr>
      <w:tr w:rsidR="00DE1FD6" w:rsidRPr="00DE1FD6" w:rsidTr="004C1733">
        <w:trPr>
          <w:trHeight w:val="279"/>
        </w:trPr>
        <w:tc>
          <w:tcPr>
            <w:tcW w:w="1740" w:type="dxa"/>
            <w:tcBorders>
              <w:top w:val="nil"/>
              <w:left w:val="single" w:sz="8" w:space="0" w:color="auto"/>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Institutional</w:t>
            </w: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environment</w:t>
            </w:r>
          </w:p>
        </w:tc>
      </w:tr>
      <w:tr w:rsidR="00DE1FD6" w:rsidRPr="00DE1FD6" w:rsidTr="004C1733">
        <w:trPr>
          <w:trHeight w:val="262"/>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of land use planning fostered by proposed</w:t>
            </w:r>
          </w:p>
        </w:tc>
      </w:tr>
      <w:tr w:rsidR="00DE1FD6" w:rsidRPr="00DE1FD6" w:rsidTr="004C1733">
        <w:trPr>
          <w:trHeight w:val="279"/>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construction/remediation</w:t>
            </w:r>
          </w:p>
        </w:tc>
      </w:tr>
      <w:tr w:rsidR="00DE1FD6" w:rsidRPr="00DE1FD6" w:rsidTr="004C1733">
        <w:trPr>
          <w:trHeight w:val="266"/>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6"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Involvement of community in land use planning decisions</w:t>
            </w:r>
          </w:p>
        </w:tc>
      </w:tr>
      <w:tr w:rsidR="00DE1FD6" w:rsidRPr="00DE1FD6" w:rsidTr="004C1733">
        <w:trPr>
          <w:trHeight w:val="262"/>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1"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Enhancement of commercial/income-generating land uses</w:t>
            </w:r>
          </w:p>
        </w:tc>
      </w:tr>
      <w:tr w:rsidR="00DE1FD6" w:rsidRPr="00DE1FD6" w:rsidTr="004C1733">
        <w:trPr>
          <w:trHeight w:val="96"/>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c>
          <w:tcPr>
            <w:tcW w:w="684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r>
      <w:tr w:rsidR="00DE1FD6" w:rsidRPr="00DE1FD6" w:rsidTr="004C1733">
        <w:trPr>
          <w:trHeight w:val="262"/>
        </w:trPr>
        <w:tc>
          <w:tcPr>
            <w:tcW w:w="1740" w:type="dxa"/>
            <w:tcBorders>
              <w:top w:val="nil"/>
              <w:left w:val="single" w:sz="8" w:space="0" w:color="auto"/>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1"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Improvement and enhancement of market-rate housing stock</w:t>
            </w:r>
          </w:p>
        </w:tc>
      </w:tr>
      <w:tr w:rsidR="00DE1FD6" w:rsidRPr="00DE1FD6" w:rsidTr="004C1733">
        <w:trPr>
          <w:trHeight w:val="266"/>
        </w:trPr>
        <w:tc>
          <w:tcPr>
            <w:tcW w:w="1740" w:type="dxa"/>
            <w:tcBorders>
              <w:top w:val="nil"/>
              <w:left w:val="single" w:sz="8" w:space="0" w:color="auto"/>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6840" w:type="dxa"/>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4"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Improvement and enhancement of affordable housing stock</w:t>
            </w:r>
          </w:p>
        </w:tc>
      </w:tr>
      <w:tr w:rsidR="00DE1FD6" w:rsidRPr="00DE1FD6" w:rsidTr="004C1733">
        <w:trPr>
          <w:gridAfter w:val="1"/>
          <w:wAfter w:w="6840" w:type="dxa"/>
          <w:trHeight w:val="705"/>
        </w:trPr>
        <w:tc>
          <w:tcPr>
            <w:tcW w:w="174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bl>
    <w:p w:rsidR="00DE1FD6" w:rsidRPr="00DE1FD6" w:rsidRDefault="00DE1FD6" w:rsidP="00DE1FD6">
      <w:pPr>
        <w:widowControl w:val="0"/>
        <w:tabs>
          <w:tab w:val="left" w:pos="945"/>
        </w:tabs>
        <w:kinsoku w:val="0"/>
        <w:spacing w:after="0" w:line="240" w:lineRule="auto"/>
        <w:rPr>
          <w:rFonts w:ascii="Times New Roman" w:eastAsiaTheme="minorEastAsia" w:hAnsi="Times New Roman" w:cs="Times New Roman"/>
          <w:sz w:val="24"/>
          <w:szCs w:val="24"/>
          <w:lang w:val="en-US" w:eastAsia="en-IE"/>
        </w:rPr>
        <w:sectPr w:rsidR="00DE1FD6" w:rsidRPr="00DE1FD6" w:rsidSect="00DE1FD6">
          <w:pgSz w:w="12240" w:h="15840"/>
          <w:pgMar w:top="1440" w:right="1440" w:bottom="1440" w:left="1440" w:header="720" w:footer="720" w:gutter="0"/>
          <w:cols w:space="720"/>
          <w:docGrid w:linePitch="299"/>
        </w:sectPr>
      </w:pPr>
    </w:p>
    <w:tbl>
      <w:tblPr>
        <w:tblW w:w="0" w:type="auto"/>
        <w:tblLayout w:type="fixed"/>
        <w:tblCellMar>
          <w:left w:w="0" w:type="dxa"/>
          <w:right w:w="0" w:type="dxa"/>
        </w:tblCellMar>
        <w:tblLook w:val="04A0" w:firstRow="1" w:lastRow="0" w:firstColumn="1" w:lastColumn="0" w:noHBand="0" w:noVBand="1"/>
      </w:tblPr>
      <w:tblGrid>
        <w:gridCol w:w="820"/>
        <w:gridCol w:w="1720"/>
        <w:gridCol w:w="5760"/>
        <w:gridCol w:w="1080"/>
        <w:gridCol w:w="700"/>
      </w:tblGrid>
      <w:tr w:rsidR="00DE1FD6" w:rsidRPr="00DE1FD6" w:rsidTr="004C1733">
        <w:trPr>
          <w:trHeight w:val="388"/>
        </w:trPr>
        <w:tc>
          <w:tcPr>
            <w:tcW w:w="82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bookmarkStart w:id="6" w:name="page5"/>
            <w:bookmarkEnd w:id="6"/>
          </w:p>
        </w:tc>
        <w:tc>
          <w:tcPr>
            <w:tcW w:w="1720" w:type="dxa"/>
            <w:tcBorders>
              <w:top w:val="nil"/>
              <w:left w:val="nil"/>
              <w:bottom w:val="single" w:sz="8" w:space="0" w:color="auto"/>
              <w:right w:val="nil"/>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080" w:type="dxa"/>
            <w:tcBorders>
              <w:top w:val="nil"/>
              <w:left w:val="nil"/>
              <w:bottom w:val="single" w:sz="8" w:space="0" w:color="auto"/>
              <w:right w:val="nil"/>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61"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Enhancement of recreational facilities</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gridSpan w:val="2"/>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1"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Enhancement to the architecture/aesthetics of built environment</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96"/>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c>
          <w:tcPr>
            <w:tcW w:w="5760" w:type="dxa"/>
            <w:tcBorders>
              <w:top w:val="nil"/>
              <w:left w:val="nil"/>
              <w:bottom w:val="single" w:sz="8" w:space="0" w:color="auto"/>
              <w:right w:val="nil"/>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r>
      <w:tr w:rsidR="00DE1FD6" w:rsidRPr="00DE1FD6" w:rsidTr="004C1733">
        <w:trPr>
          <w:trHeight w:val="260"/>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vAlign w:val="bottom"/>
            <w:hideMark/>
          </w:tcPr>
          <w:p w:rsidR="00DE1FD6" w:rsidRPr="00DE1FD6" w:rsidRDefault="00DE1FD6" w:rsidP="00DE1FD6">
            <w:pPr>
              <w:widowControl w:val="0"/>
              <w:kinsoku w:val="0"/>
              <w:autoSpaceDE w:val="0"/>
              <w:autoSpaceDN w:val="0"/>
              <w:adjustRightInd w:val="0"/>
              <w:spacing w:after="0" w:line="260"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Enhancement and participation of school system (i.e., new</w:t>
            </w:r>
          </w:p>
        </w:tc>
        <w:tc>
          <w:tcPr>
            <w:tcW w:w="108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80"/>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40" w:lineRule="auto"/>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buildings) in community</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gridSpan w:val="2"/>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Enhancement and participation of new congregations and facilities</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in community</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Enhancement and participation of government institutions</w:t>
            </w:r>
          </w:p>
        </w:tc>
        <w:tc>
          <w:tcPr>
            <w:tcW w:w="108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right="47"/>
              <w:jc w:val="right"/>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(i.e., new</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facilities) in community</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gridSpan w:val="2"/>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of "grass-roots" community outreach and involvement</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94"/>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c>
          <w:tcPr>
            <w:tcW w:w="5760" w:type="dxa"/>
            <w:tcBorders>
              <w:top w:val="nil"/>
              <w:left w:val="nil"/>
              <w:bottom w:val="single" w:sz="8" w:space="0" w:color="auto"/>
              <w:right w:val="nil"/>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r>
      <w:tr w:rsidR="00DE1FD6" w:rsidRPr="00DE1FD6" w:rsidTr="004C1733">
        <w:trPr>
          <w:trHeight w:val="258"/>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vAlign w:val="bottom"/>
            <w:hideMark/>
          </w:tcPr>
          <w:p w:rsidR="00DE1FD6" w:rsidRPr="00DE1FD6" w:rsidRDefault="00DE1FD6" w:rsidP="00DE1FD6">
            <w:pPr>
              <w:widowControl w:val="0"/>
              <w:kinsoku w:val="0"/>
              <w:autoSpaceDE w:val="0"/>
              <w:autoSpaceDN w:val="0"/>
              <w:adjustRightInd w:val="0"/>
              <w:spacing w:after="0" w:line="258"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Involvement of community organizations pre- and post-</w:t>
            </w:r>
          </w:p>
        </w:tc>
        <w:tc>
          <w:tcPr>
            <w:tcW w:w="108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construction/remediation</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4"/>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gridSpan w:val="2"/>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3"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Enhancement of cultural heritage institutions within community</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94"/>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c>
          <w:tcPr>
            <w:tcW w:w="6840" w:type="dxa"/>
            <w:gridSpan w:val="2"/>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8"/>
                <w:szCs w:val="8"/>
                <w:lang w:val="en-US" w:eastAsia="en-IE"/>
              </w:rPr>
            </w:pPr>
          </w:p>
        </w:tc>
      </w:tr>
      <w:tr w:rsidR="00DE1FD6" w:rsidRPr="00DE1FD6" w:rsidTr="004C1733">
        <w:trPr>
          <w:trHeight w:val="258"/>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gridSpan w:val="2"/>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58"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Involvement and enhancement of community-based charitable</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organizations</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Incorporation of green and sustainable infrastructure into</w:t>
            </w:r>
          </w:p>
        </w:tc>
        <w:tc>
          <w:tcPr>
            <w:tcW w:w="108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construction/remediation</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6"/>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66"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Enhancement of transportation system improvements</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gridSpan w:val="2"/>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1"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Trust, voluntary organizations and local networks (also known as</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social capital)</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4"/>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3" w:lineRule="exact"/>
              <w:ind w:left="8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Socio-</w:t>
            </w:r>
          </w:p>
        </w:tc>
        <w:tc>
          <w:tcPr>
            <w:tcW w:w="5760" w:type="dxa"/>
            <w:vAlign w:val="bottom"/>
            <w:hideMark/>
          </w:tcPr>
          <w:p w:rsidR="00DE1FD6" w:rsidRPr="00DE1FD6" w:rsidRDefault="00DE1FD6" w:rsidP="00DE1FD6">
            <w:pPr>
              <w:widowControl w:val="0"/>
              <w:kinsoku w:val="0"/>
              <w:autoSpaceDE w:val="0"/>
              <w:autoSpaceDN w:val="0"/>
              <w:adjustRightInd w:val="0"/>
              <w:spacing w:after="0" w:line="263"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Disruption of businesses and local economy during</w:t>
            </w:r>
          </w:p>
        </w:tc>
        <w:tc>
          <w:tcPr>
            <w:tcW w:w="108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80"/>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40" w:lineRule="auto"/>
              <w:ind w:left="8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Economic</w:t>
            </w: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40" w:lineRule="auto"/>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construction/remediation</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6"/>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6840" w:type="dxa"/>
            <w:gridSpan w:val="2"/>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6"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Employment opportunities during construction/remediation</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r>
      <w:tr w:rsidR="00DE1FD6" w:rsidRPr="00DE1FD6" w:rsidTr="004C1733">
        <w:trPr>
          <w:trHeight w:val="266"/>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64"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Employment opportunities post-construction/remediation</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r>
      <w:tr w:rsidR="00DE1FD6" w:rsidRPr="00DE1FD6" w:rsidTr="004C1733">
        <w:trPr>
          <w:trHeight w:val="266"/>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6840" w:type="dxa"/>
            <w:gridSpan w:val="2"/>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4"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of project investment toward Local Business Entities (LBEs)</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gridSpan w:val="2"/>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1"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of project investment toward Disadvantaged Business</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Entities (DBEs)</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6"/>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6840" w:type="dxa"/>
            <w:gridSpan w:val="2"/>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6"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Post-construction/remediation 3rd party business generation</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r>
      <w:tr w:rsidR="00DE1FD6" w:rsidRPr="00DE1FD6" w:rsidTr="004C1733">
        <w:trPr>
          <w:trHeight w:val="268"/>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67"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Relative degree of increased tax revenue from Site Reuse</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r>
      <w:tr w:rsidR="00DE1FD6" w:rsidRPr="00DE1FD6" w:rsidTr="004C1733">
        <w:trPr>
          <w:trHeight w:val="266"/>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6840" w:type="dxa"/>
            <w:gridSpan w:val="2"/>
            <w:tcBorders>
              <w:top w:val="nil"/>
              <w:left w:val="nil"/>
              <w:bottom w:val="single" w:sz="8" w:space="0" w:color="auto"/>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6"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Relative degree of increased tax revenue from nearby properties</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gridSpan w:val="2"/>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1"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to which green/sustainable or other "new economy"</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businesses may be created</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6"/>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66"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of stimulated informal activities/economy</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3"/>
                <w:szCs w:val="23"/>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gridSpan w:val="2"/>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1"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of anticipated partnership and collaboration with outside</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investors/institutions</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8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Socio-</w:t>
            </w:r>
          </w:p>
        </w:tc>
        <w:tc>
          <w:tcPr>
            <w:tcW w:w="6840" w:type="dxa"/>
            <w:gridSpan w:val="2"/>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Remediation of naturally-occurring contaminants (i.e., naturally-</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75" w:lineRule="exact"/>
              <w:ind w:left="8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Environmental</w:t>
            </w: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occurring asbestos, radon)</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Remediation of anthropogenic contaminants at "chronic"</w:t>
            </w:r>
          </w:p>
        </w:tc>
        <w:tc>
          <w:tcPr>
            <w:tcW w:w="108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concentrations</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4"/>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vAlign w:val="bottom"/>
            <w:hideMark/>
          </w:tcPr>
          <w:p w:rsidR="00DE1FD6" w:rsidRPr="00DE1FD6" w:rsidRDefault="00DE1FD6" w:rsidP="00DE1FD6">
            <w:pPr>
              <w:widowControl w:val="0"/>
              <w:kinsoku w:val="0"/>
              <w:autoSpaceDE w:val="0"/>
              <w:autoSpaceDN w:val="0"/>
              <w:adjustRightInd w:val="0"/>
              <w:spacing w:after="0" w:line="263"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Remediation of anthropogenic contaminants at "acute"</w:t>
            </w:r>
          </w:p>
        </w:tc>
        <w:tc>
          <w:tcPr>
            <w:tcW w:w="108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80"/>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40" w:lineRule="auto"/>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concentrations</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gridSpan w:val="2"/>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Remediation of pervasive "economic poisons" or other pervasive</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conditions endemic in community</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trHeight w:val="262"/>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c>
          <w:tcPr>
            <w:tcW w:w="17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6840" w:type="dxa"/>
            <w:gridSpan w:val="2"/>
            <w:tcBorders>
              <w:top w:val="nil"/>
              <w:left w:val="nil"/>
              <w:bottom w:val="nil"/>
              <w:right w:val="single" w:sz="8" w:space="0" w:color="auto"/>
            </w:tcBorders>
            <w:vAlign w:val="bottom"/>
            <w:hideMark/>
          </w:tcPr>
          <w:p w:rsidR="00DE1FD6" w:rsidRPr="00DE1FD6" w:rsidRDefault="00DE1FD6" w:rsidP="00DE1FD6">
            <w:pPr>
              <w:widowControl w:val="0"/>
              <w:kinsoku w:val="0"/>
              <w:autoSpaceDE w:val="0"/>
              <w:autoSpaceDN w:val="0"/>
              <w:adjustRightInd w:val="0"/>
              <w:spacing w:after="0" w:line="262"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of protection afforded to remediation workers by proposed</w:t>
            </w: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lang w:val="en-US" w:eastAsia="en-IE"/>
              </w:rPr>
            </w:pPr>
          </w:p>
        </w:tc>
      </w:tr>
      <w:tr w:rsidR="00DE1FD6" w:rsidRPr="00DE1FD6" w:rsidTr="004C1733">
        <w:trPr>
          <w:trHeight w:val="279"/>
        </w:trPr>
        <w:tc>
          <w:tcPr>
            <w:tcW w:w="820" w:type="dxa"/>
            <w:tcBorders>
              <w:top w:val="nil"/>
              <w:left w:val="nil"/>
              <w:bottom w:val="nil"/>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tcBorders>
              <w:top w:val="nil"/>
              <w:left w:val="nil"/>
              <w:bottom w:val="single" w:sz="8" w:space="0" w:color="auto"/>
              <w:right w:val="nil"/>
            </w:tcBorders>
            <w:vAlign w:val="bottom"/>
            <w:hideMark/>
          </w:tcPr>
          <w:p w:rsidR="00DE1FD6" w:rsidRPr="00DE1FD6" w:rsidRDefault="00DE1FD6" w:rsidP="00DE1FD6">
            <w:pPr>
              <w:widowControl w:val="0"/>
              <w:kinsoku w:val="0"/>
              <w:autoSpaceDE w:val="0"/>
              <w:autoSpaceDN w:val="0"/>
              <w:adjustRightInd w:val="0"/>
              <w:spacing w:after="0" w:line="275" w:lineRule="exact"/>
              <w:ind w:left="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remediation</w:t>
            </w:r>
          </w:p>
        </w:tc>
        <w:tc>
          <w:tcPr>
            <w:tcW w:w="1080" w:type="dxa"/>
            <w:tcBorders>
              <w:top w:val="nil"/>
              <w:left w:val="nil"/>
              <w:bottom w:val="single" w:sz="8" w:space="0" w:color="auto"/>
              <w:right w:val="single" w:sz="8" w:space="0" w:color="auto"/>
            </w:tcBorders>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70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r w:rsidR="00DE1FD6" w:rsidRPr="00DE1FD6" w:rsidTr="004C1733">
        <w:trPr>
          <w:gridAfter w:val="2"/>
          <w:wAfter w:w="1780" w:type="dxa"/>
          <w:trHeight w:val="701"/>
        </w:trPr>
        <w:tc>
          <w:tcPr>
            <w:tcW w:w="82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172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c>
          <w:tcPr>
            <w:tcW w:w="5760" w:type="dxa"/>
            <w:vAlign w:val="bottom"/>
          </w:tcPr>
          <w:p w:rsidR="00DE1FD6" w:rsidRPr="00DE1FD6" w:rsidRDefault="00DE1FD6" w:rsidP="00DE1FD6">
            <w:pPr>
              <w:widowControl w:val="0"/>
              <w:kinsoku w:val="0"/>
              <w:autoSpaceDE w:val="0"/>
              <w:autoSpaceDN w:val="0"/>
              <w:adjustRightInd w:val="0"/>
              <w:spacing w:after="0" w:line="240" w:lineRule="auto"/>
              <w:rPr>
                <w:rFonts w:ascii="Times New Roman" w:eastAsiaTheme="minorEastAsia" w:hAnsi="Times New Roman" w:cs="Times New Roman"/>
                <w:sz w:val="24"/>
                <w:szCs w:val="24"/>
                <w:lang w:val="en-US" w:eastAsia="en-IE"/>
              </w:rPr>
            </w:pPr>
          </w:p>
        </w:tc>
      </w:tr>
    </w:tbl>
    <w:p w:rsidR="00DE1FD6" w:rsidRPr="00DE1FD6" w:rsidRDefault="00DE1FD6" w:rsidP="00DE1FD6">
      <w:pPr>
        <w:widowControl w:val="0"/>
        <w:kinsoku w:val="0"/>
        <w:spacing w:after="0" w:line="240" w:lineRule="auto"/>
        <w:rPr>
          <w:rFonts w:ascii="Times New Roman" w:eastAsiaTheme="minorEastAsia" w:hAnsi="Times New Roman" w:cs="Times New Roman"/>
          <w:sz w:val="24"/>
          <w:szCs w:val="24"/>
          <w:lang w:val="en-US" w:eastAsia="en-IE"/>
        </w:rPr>
        <w:sectPr w:rsidR="00DE1FD6" w:rsidRPr="00DE1FD6">
          <w:pgSz w:w="12240" w:h="15840"/>
          <w:pgMar w:top="575" w:right="1080" w:bottom="720" w:left="1080" w:header="720" w:footer="720" w:gutter="0"/>
          <w:cols w:space="720"/>
        </w:sectPr>
      </w:pPr>
    </w:p>
    <w:bookmarkStart w:id="7" w:name="page6"/>
    <w:bookmarkEnd w:id="7"/>
    <w:p w:rsidR="00DE1FD6" w:rsidRPr="00DE1FD6" w:rsidRDefault="00DE1FD6" w:rsidP="00DE1FD6">
      <w:pPr>
        <w:widowControl w:val="0"/>
        <w:kinsoku w:val="0"/>
        <w:autoSpaceDE w:val="0"/>
        <w:autoSpaceDN w:val="0"/>
        <w:adjustRightInd w:val="0"/>
        <w:spacing w:after="0" w:line="397" w:lineRule="exact"/>
        <w:rPr>
          <w:rFonts w:ascii="Times New Roman" w:eastAsiaTheme="minorEastAsia" w:hAnsi="Times New Roman" w:cs="Times New Roman"/>
          <w:sz w:val="24"/>
          <w:szCs w:val="24"/>
          <w:lang w:val="en-US" w:eastAsia="en-IE"/>
        </w:rPr>
      </w:pPr>
      <w:r w:rsidRPr="00DE1FD6">
        <w:rPr>
          <w:rFonts w:eastAsiaTheme="minorEastAsia"/>
          <w:noProof/>
          <w:lang w:eastAsia="en-GB"/>
        </w:rPr>
        <w:lastRenderedPageBreak/>
        <mc:AlternateContent>
          <mc:Choice Requires="wps">
            <w:drawing>
              <wp:anchor distT="0" distB="0" distL="114300" distR="114300" simplePos="0" relativeHeight="251681792" behindDoc="1" locked="0" layoutInCell="0" allowOverlap="1" wp14:anchorId="16855AA9" wp14:editId="14F3D186">
                <wp:simplePos x="0" y="0"/>
                <wp:positionH relativeFrom="column">
                  <wp:posOffset>504190</wp:posOffset>
                </wp:positionH>
                <wp:positionV relativeFrom="paragraph">
                  <wp:posOffset>249555</wp:posOffset>
                </wp:positionV>
                <wp:extent cx="5447030" cy="0"/>
                <wp:effectExtent l="8890" t="11430" r="11430" b="762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70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8EA0D" id="Straight Connector 1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19.65pt" to="468.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S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" o:allowincell="f" strokeweight=".48pt"/>
            </w:pict>
          </mc:Fallback>
        </mc:AlternateContent>
      </w:r>
      <w:r w:rsidRPr="00DE1FD6">
        <w:rPr>
          <w:rFonts w:eastAsiaTheme="minorEastAsia"/>
          <w:noProof/>
          <w:lang w:eastAsia="en-GB"/>
        </w:rPr>
        <mc:AlternateContent>
          <mc:Choice Requires="wps">
            <w:drawing>
              <wp:anchor distT="0" distB="0" distL="114300" distR="114300" simplePos="0" relativeHeight="251682816" behindDoc="1" locked="0" layoutInCell="0" allowOverlap="1" wp14:anchorId="68B9CA22" wp14:editId="3A8C6CFE">
                <wp:simplePos x="0" y="0"/>
                <wp:positionH relativeFrom="column">
                  <wp:posOffset>1604645</wp:posOffset>
                </wp:positionH>
                <wp:positionV relativeFrom="paragraph">
                  <wp:posOffset>246380</wp:posOffset>
                </wp:positionV>
                <wp:extent cx="0" cy="2510155"/>
                <wp:effectExtent l="13970" t="8255" r="5080" b="571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01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B1262" id="Straight Connector 1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5pt,19.4pt" to="126.35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" o:allowincell="f" strokeweight=".16931mm"/>
            </w:pict>
          </mc:Fallback>
        </mc:AlternateContent>
      </w:r>
      <w:r w:rsidRPr="00DE1FD6">
        <w:rPr>
          <w:rFonts w:eastAsiaTheme="minorEastAsia"/>
          <w:noProof/>
          <w:lang w:eastAsia="en-GB"/>
        </w:rPr>
        <mc:AlternateContent>
          <mc:Choice Requires="wps">
            <w:drawing>
              <wp:anchor distT="0" distB="0" distL="114300" distR="114300" simplePos="0" relativeHeight="251683840" behindDoc="1" locked="0" layoutInCell="0" allowOverlap="1" wp14:anchorId="383E22AB" wp14:editId="42C4BE28">
                <wp:simplePos x="0" y="0"/>
                <wp:positionH relativeFrom="column">
                  <wp:posOffset>5948045</wp:posOffset>
                </wp:positionH>
                <wp:positionV relativeFrom="paragraph">
                  <wp:posOffset>246380</wp:posOffset>
                </wp:positionV>
                <wp:extent cx="0" cy="2510155"/>
                <wp:effectExtent l="13970" t="8255" r="5080" b="57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01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104D9" id="Straight Connector 20"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35pt,19.4pt" to="468.35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" o:allowincell="f" strokeweight=".48pt"/>
            </w:pict>
          </mc:Fallback>
        </mc:AlternateContent>
      </w:r>
      <w:r w:rsidRPr="00DE1FD6">
        <w:rPr>
          <w:rFonts w:eastAsiaTheme="minorEastAsia"/>
          <w:noProof/>
          <w:lang w:eastAsia="en-GB"/>
        </w:rPr>
        <mc:AlternateContent>
          <mc:Choice Requires="wps">
            <w:drawing>
              <wp:anchor distT="0" distB="0" distL="114300" distR="114300" simplePos="0" relativeHeight="251684864" behindDoc="1" locked="0" layoutInCell="0" allowOverlap="1" wp14:anchorId="10BFDBAD" wp14:editId="2B5B38D7">
                <wp:simplePos x="0" y="0"/>
                <wp:positionH relativeFrom="column">
                  <wp:posOffset>507365</wp:posOffset>
                </wp:positionH>
                <wp:positionV relativeFrom="paragraph">
                  <wp:posOffset>246380</wp:posOffset>
                </wp:positionV>
                <wp:extent cx="0" cy="2510155"/>
                <wp:effectExtent l="12065" t="8255" r="6985" b="571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01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7BC6F" id="Straight Connector 21"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9.4pt" to="39.95pt,2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" o:allowincell="f" strokeweight=".16931mm"/>
            </w:pict>
          </mc:Fallback>
        </mc:AlternateContent>
      </w:r>
    </w:p>
    <w:p w:rsidR="00DE1FD6" w:rsidRPr="00DE1FD6" w:rsidRDefault="00DE1FD6" w:rsidP="00DE1FD6">
      <w:pPr>
        <w:widowControl w:val="0"/>
        <w:kinsoku w:val="0"/>
        <w:overflowPunct w:val="0"/>
        <w:autoSpaceDE w:val="0"/>
        <w:autoSpaceDN w:val="0"/>
        <w:adjustRightInd w:val="0"/>
        <w:spacing w:after="0" w:line="235" w:lineRule="auto"/>
        <w:ind w:left="2640" w:right="1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of disruption (noise, truck traffic) from proposed remedial method to the surrounding neighborhoods</w:t>
      </w:r>
    </w:p>
    <w:p w:rsidR="00DE1FD6" w:rsidRPr="00DE1FD6" w:rsidRDefault="00DE1FD6" w:rsidP="00DE1FD6">
      <w:pPr>
        <w:widowControl w:val="0"/>
        <w:kinsoku w:val="0"/>
        <w:autoSpaceDE w:val="0"/>
        <w:autoSpaceDN w:val="0"/>
        <w:adjustRightInd w:val="0"/>
        <w:spacing w:after="0" w:line="19" w:lineRule="exact"/>
        <w:rPr>
          <w:rFonts w:ascii="Times New Roman" w:eastAsiaTheme="minorEastAsia" w:hAnsi="Times New Roman" w:cs="Times New Roman"/>
          <w:sz w:val="24"/>
          <w:szCs w:val="24"/>
          <w:lang w:val="en-US" w:eastAsia="en-IE"/>
        </w:rPr>
      </w:pPr>
      <w:r w:rsidRPr="00DE1FD6">
        <w:rPr>
          <w:rFonts w:eastAsiaTheme="minorEastAsia"/>
          <w:noProof/>
          <w:lang w:eastAsia="en-GB"/>
        </w:rPr>
        <mc:AlternateContent>
          <mc:Choice Requires="wps">
            <w:drawing>
              <wp:anchor distT="0" distB="0" distL="114300" distR="114300" simplePos="0" relativeHeight="251685888" behindDoc="1" locked="0" layoutInCell="0" allowOverlap="1" wp14:anchorId="65A06466" wp14:editId="55388428">
                <wp:simplePos x="0" y="0"/>
                <wp:positionH relativeFrom="column">
                  <wp:posOffset>1601470</wp:posOffset>
                </wp:positionH>
                <wp:positionV relativeFrom="paragraph">
                  <wp:posOffset>8890</wp:posOffset>
                </wp:positionV>
                <wp:extent cx="4349750" cy="0"/>
                <wp:effectExtent l="10795" t="8890" r="11430" b="1016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2EAC0" id="Straight Connector 2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7pt" to="468.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Q2Hg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" o:allowincell="f" strokeweight=".16931mm"/>
            </w:pict>
          </mc:Fallback>
        </mc:AlternateContent>
      </w:r>
    </w:p>
    <w:p w:rsidR="00DE1FD6" w:rsidRPr="00DE1FD6" w:rsidRDefault="00DE1FD6" w:rsidP="00DE1FD6">
      <w:pPr>
        <w:widowControl w:val="0"/>
        <w:kinsoku w:val="0"/>
        <w:overflowPunct w:val="0"/>
        <w:autoSpaceDE w:val="0"/>
        <w:autoSpaceDN w:val="0"/>
        <w:adjustRightInd w:val="0"/>
        <w:spacing w:after="0" w:line="235" w:lineRule="auto"/>
        <w:ind w:left="2640" w:right="102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of contaminant removal/destruction vs. in-place capping or immobilization</w:t>
      </w:r>
    </w:p>
    <w:p w:rsidR="00DE1FD6" w:rsidRPr="00DE1FD6" w:rsidRDefault="00DE1FD6" w:rsidP="00DE1FD6">
      <w:pPr>
        <w:widowControl w:val="0"/>
        <w:kinsoku w:val="0"/>
        <w:autoSpaceDE w:val="0"/>
        <w:autoSpaceDN w:val="0"/>
        <w:adjustRightInd w:val="0"/>
        <w:spacing w:after="0" w:line="19" w:lineRule="exact"/>
        <w:rPr>
          <w:rFonts w:ascii="Times New Roman" w:eastAsiaTheme="minorEastAsia" w:hAnsi="Times New Roman" w:cs="Times New Roman"/>
          <w:sz w:val="24"/>
          <w:szCs w:val="24"/>
          <w:lang w:val="en-US" w:eastAsia="en-IE"/>
        </w:rPr>
      </w:pPr>
      <w:r w:rsidRPr="00DE1FD6">
        <w:rPr>
          <w:rFonts w:eastAsiaTheme="minorEastAsia"/>
          <w:noProof/>
          <w:lang w:eastAsia="en-GB"/>
        </w:rPr>
        <mc:AlternateContent>
          <mc:Choice Requires="wps">
            <w:drawing>
              <wp:anchor distT="0" distB="0" distL="114300" distR="114300" simplePos="0" relativeHeight="251686912" behindDoc="1" locked="0" layoutInCell="0" allowOverlap="1" wp14:anchorId="7432C9F8" wp14:editId="5B7B2E52">
                <wp:simplePos x="0" y="0"/>
                <wp:positionH relativeFrom="column">
                  <wp:posOffset>1601470</wp:posOffset>
                </wp:positionH>
                <wp:positionV relativeFrom="paragraph">
                  <wp:posOffset>8890</wp:posOffset>
                </wp:positionV>
                <wp:extent cx="4349750" cy="0"/>
                <wp:effectExtent l="10795" t="8890" r="11430" b="1016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75963" id="Straight Connector 2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7pt" to="468.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SW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" o:allowincell="f" strokeweight=".16931mm"/>
            </w:pict>
          </mc:Fallback>
        </mc:AlternateContent>
      </w:r>
    </w:p>
    <w:p w:rsidR="00DE1FD6" w:rsidRPr="00DE1FD6" w:rsidRDefault="00DE1FD6" w:rsidP="00DE1FD6">
      <w:pPr>
        <w:widowControl w:val="0"/>
        <w:kinsoku w:val="0"/>
        <w:overflowPunct w:val="0"/>
        <w:autoSpaceDE w:val="0"/>
        <w:autoSpaceDN w:val="0"/>
        <w:adjustRightInd w:val="0"/>
        <w:spacing w:after="0" w:line="235" w:lineRule="auto"/>
        <w:ind w:left="2640" w:right="92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of future characterization/remediation required by re-zoning or altered land use</w:t>
      </w:r>
    </w:p>
    <w:p w:rsidR="00DE1FD6" w:rsidRPr="00DE1FD6" w:rsidRDefault="00DE1FD6" w:rsidP="00DE1FD6">
      <w:pPr>
        <w:widowControl w:val="0"/>
        <w:kinsoku w:val="0"/>
        <w:autoSpaceDE w:val="0"/>
        <w:autoSpaceDN w:val="0"/>
        <w:adjustRightInd w:val="0"/>
        <w:spacing w:after="0" w:line="14" w:lineRule="exact"/>
        <w:rPr>
          <w:rFonts w:ascii="Times New Roman" w:eastAsiaTheme="minorEastAsia" w:hAnsi="Times New Roman" w:cs="Times New Roman"/>
          <w:sz w:val="24"/>
          <w:szCs w:val="24"/>
          <w:lang w:val="en-US" w:eastAsia="en-IE"/>
        </w:rPr>
      </w:pPr>
      <w:r w:rsidRPr="00DE1FD6">
        <w:rPr>
          <w:rFonts w:eastAsiaTheme="minorEastAsia"/>
          <w:noProof/>
          <w:lang w:eastAsia="en-GB"/>
        </w:rPr>
        <mc:AlternateContent>
          <mc:Choice Requires="wps">
            <w:drawing>
              <wp:anchor distT="0" distB="0" distL="114300" distR="114300" simplePos="0" relativeHeight="251687936" behindDoc="1" locked="0" layoutInCell="0" allowOverlap="1" wp14:anchorId="1FACEA1D" wp14:editId="479E2AB5">
                <wp:simplePos x="0" y="0"/>
                <wp:positionH relativeFrom="column">
                  <wp:posOffset>1601470</wp:posOffset>
                </wp:positionH>
                <wp:positionV relativeFrom="paragraph">
                  <wp:posOffset>8890</wp:posOffset>
                </wp:positionV>
                <wp:extent cx="4349750" cy="0"/>
                <wp:effectExtent l="10795" t="8890" r="11430" b="1016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B7A36" id="Straight Connector 2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7pt" to="468.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l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" o:allowincell="f" strokeweight=".16931mm"/>
            </w:pict>
          </mc:Fallback>
        </mc:AlternateContent>
      </w:r>
    </w:p>
    <w:p w:rsidR="00DE1FD6" w:rsidRPr="00DE1FD6" w:rsidRDefault="00DE1FD6" w:rsidP="00DE1FD6">
      <w:pPr>
        <w:widowControl w:val="0"/>
        <w:kinsoku w:val="0"/>
        <w:autoSpaceDE w:val="0"/>
        <w:autoSpaceDN w:val="0"/>
        <w:adjustRightInd w:val="0"/>
        <w:spacing w:after="0" w:line="240" w:lineRule="auto"/>
        <w:ind w:left="264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"Greenness"/sustainability of proposed remedial action</w:t>
      </w:r>
    </w:p>
    <w:p w:rsidR="00DE1FD6" w:rsidRPr="00DE1FD6" w:rsidRDefault="00DE1FD6" w:rsidP="00DE1FD6">
      <w:pPr>
        <w:widowControl w:val="0"/>
        <w:kinsoku w:val="0"/>
        <w:autoSpaceDE w:val="0"/>
        <w:autoSpaceDN w:val="0"/>
        <w:adjustRightInd w:val="0"/>
        <w:spacing w:after="0" w:line="10" w:lineRule="exact"/>
        <w:rPr>
          <w:rFonts w:ascii="Times New Roman" w:eastAsiaTheme="minorEastAsia" w:hAnsi="Times New Roman" w:cs="Times New Roman"/>
          <w:sz w:val="24"/>
          <w:szCs w:val="24"/>
          <w:lang w:val="en-US" w:eastAsia="en-IE"/>
        </w:rPr>
      </w:pPr>
      <w:r w:rsidRPr="00DE1FD6">
        <w:rPr>
          <w:rFonts w:eastAsiaTheme="minorEastAsia"/>
          <w:noProof/>
          <w:lang w:eastAsia="en-GB"/>
        </w:rPr>
        <mc:AlternateContent>
          <mc:Choice Requires="wps">
            <w:drawing>
              <wp:anchor distT="0" distB="0" distL="114300" distR="114300" simplePos="0" relativeHeight="251688960" behindDoc="1" locked="0" layoutInCell="0" allowOverlap="1" wp14:anchorId="19D9493C" wp14:editId="3FDB305B">
                <wp:simplePos x="0" y="0"/>
                <wp:positionH relativeFrom="column">
                  <wp:posOffset>1601470</wp:posOffset>
                </wp:positionH>
                <wp:positionV relativeFrom="paragraph">
                  <wp:posOffset>7620</wp:posOffset>
                </wp:positionV>
                <wp:extent cx="4349750" cy="0"/>
                <wp:effectExtent l="10795" t="7620" r="11430" b="1143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694E0" id="Straight Connector 19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6pt" to="468.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fC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" o:allowincell="f" strokeweight=".16931mm"/>
            </w:pict>
          </mc:Fallback>
        </mc:AlternateContent>
      </w:r>
    </w:p>
    <w:p w:rsidR="00DE1FD6" w:rsidRPr="00DE1FD6" w:rsidRDefault="00DE1FD6" w:rsidP="00DE1FD6">
      <w:pPr>
        <w:widowControl w:val="0"/>
        <w:kinsoku w:val="0"/>
        <w:autoSpaceDE w:val="0"/>
        <w:autoSpaceDN w:val="0"/>
        <w:adjustRightInd w:val="0"/>
        <w:spacing w:after="0" w:line="240" w:lineRule="auto"/>
        <w:ind w:left="264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Incorporation of green energy sources into remediation activity</w:t>
      </w:r>
    </w:p>
    <w:p w:rsidR="00DE1FD6" w:rsidRPr="00DE1FD6" w:rsidRDefault="00DE1FD6" w:rsidP="00DE1FD6">
      <w:pPr>
        <w:widowControl w:val="0"/>
        <w:kinsoku w:val="0"/>
        <w:autoSpaceDE w:val="0"/>
        <w:autoSpaceDN w:val="0"/>
        <w:adjustRightInd w:val="0"/>
        <w:spacing w:after="0" w:line="17" w:lineRule="exact"/>
        <w:rPr>
          <w:rFonts w:ascii="Times New Roman" w:eastAsiaTheme="minorEastAsia" w:hAnsi="Times New Roman" w:cs="Times New Roman"/>
          <w:sz w:val="24"/>
          <w:szCs w:val="24"/>
          <w:lang w:val="en-US" w:eastAsia="en-IE"/>
        </w:rPr>
      </w:pPr>
      <w:r w:rsidRPr="00DE1FD6">
        <w:rPr>
          <w:rFonts w:eastAsiaTheme="minorEastAsia"/>
          <w:noProof/>
          <w:lang w:eastAsia="en-GB"/>
        </w:rPr>
        <mc:AlternateContent>
          <mc:Choice Requires="wps">
            <w:drawing>
              <wp:anchor distT="0" distB="0" distL="114300" distR="114300" simplePos="0" relativeHeight="251689984" behindDoc="1" locked="0" layoutInCell="0" allowOverlap="1" wp14:anchorId="56DAD751" wp14:editId="24832A79">
                <wp:simplePos x="0" y="0"/>
                <wp:positionH relativeFrom="column">
                  <wp:posOffset>1601470</wp:posOffset>
                </wp:positionH>
                <wp:positionV relativeFrom="paragraph">
                  <wp:posOffset>7620</wp:posOffset>
                </wp:positionV>
                <wp:extent cx="4349750" cy="0"/>
                <wp:effectExtent l="10795" t="7620" r="11430" b="1143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83D8F" id="Straight Connector 19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6pt" to="468.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3za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" o:allowincell="f" strokeweight=".16931mm"/>
            </w:pict>
          </mc:Fallback>
        </mc:AlternateContent>
      </w:r>
    </w:p>
    <w:p w:rsidR="00DE1FD6" w:rsidRPr="00DE1FD6" w:rsidRDefault="00DE1FD6" w:rsidP="00DE1FD6">
      <w:pPr>
        <w:widowControl w:val="0"/>
        <w:kinsoku w:val="0"/>
        <w:overflowPunct w:val="0"/>
        <w:autoSpaceDE w:val="0"/>
        <w:autoSpaceDN w:val="0"/>
        <w:adjustRightInd w:val="0"/>
        <w:spacing w:after="0" w:line="235" w:lineRule="auto"/>
        <w:ind w:left="2640" w:right="116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Restoration or impact to productive surface water or groundwater use</w:t>
      </w:r>
    </w:p>
    <w:p w:rsidR="00DE1FD6" w:rsidRPr="00DE1FD6" w:rsidRDefault="00DE1FD6" w:rsidP="00DE1FD6">
      <w:pPr>
        <w:widowControl w:val="0"/>
        <w:kinsoku w:val="0"/>
        <w:autoSpaceDE w:val="0"/>
        <w:autoSpaceDN w:val="0"/>
        <w:adjustRightInd w:val="0"/>
        <w:spacing w:after="0" w:line="19" w:lineRule="exact"/>
        <w:rPr>
          <w:rFonts w:ascii="Times New Roman" w:eastAsiaTheme="minorEastAsia" w:hAnsi="Times New Roman" w:cs="Times New Roman"/>
          <w:sz w:val="24"/>
          <w:szCs w:val="24"/>
          <w:lang w:val="en-US" w:eastAsia="en-IE"/>
        </w:rPr>
      </w:pPr>
      <w:r w:rsidRPr="00DE1FD6">
        <w:rPr>
          <w:rFonts w:eastAsiaTheme="minorEastAsia"/>
          <w:noProof/>
          <w:lang w:eastAsia="en-GB"/>
        </w:rPr>
        <mc:AlternateContent>
          <mc:Choice Requires="wps">
            <w:drawing>
              <wp:anchor distT="0" distB="0" distL="114300" distR="114300" simplePos="0" relativeHeight="251691008" behindDoc="1" locked="0" layoutInCell="0" allowOverlap="1" wp14:anchorId="57013AF3" wp14:editId="653F51B2">
                <wp:simplePos x="0" y="0"/>
                <wp:positionH relativeFrom="column">
                  <wp:posOffset>1601470</wp:posOffset>
                </wp:positionH>
                <wp:positionV relativeFrom="paragraph">
                  <wp:posOffset>8890</wp:posOffset>
                </wp:positionV>
                <wp:extent cx="4349750" cy="0"/>
                <wp:effectExtent l="10795" t="8890" r="11430" b="1016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85E6C" id="Straight Connector 19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7pt" to="468.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xkHwIAADo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" o:allowincell="f" strokeweight=".48pt"/>
            </w:pict>
          </mc:Fallback>
        </mc:AlternateContent>
      </w:r>
    </w:p>
    <w:p w:rsidR="00DE1FD6" w:rsidRPr="00DE1FD6" w:rsidRDefault="00DE1FD6" w:rsidP="00DE1FD6">
      <w:pPr>
        <w:widowControl w:val="0"/>
        <w:kinsoku w:val="0"/>
        <w:overflowPunct w:val="0"/>
        <w:autoSpaceDE w:val="0"/>
        <w:autoSpaceDN w:val="0"/>
        <w:adjustRightInd w:val="0"/>
        <w:spacing w:after="0" w:line="235" w:lineRule="auto"/>
        <w:ind w:left="2640" w:right="188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Degree proposed remediation will affect other media (i.e., emissions/air pollution)</w:t>
      </w:r>
    </w:p>
    <w:p w:rsidR="00DE1FD6" w:rsidRPr="00DE1FD6" w:rsidRDefault="00DE1FD6" w:rsidP="00DE1FD6">
      <w:pPr>
        <w:widowControl w:val="0"/>
        <w:kinsoku w:val="0"/>
        <w:autoSpaceDE w:val="0"/>
        <w:autoSpaceDN w:val="0"/>
        <w:adjustRightInd w:val="0"/>
        <w:spacing w:after="0" w:line="19" w:lineRule="exact"/>
        <w:rPr>
          <w:rFonts w:ascii="Times New Roman" w:eastAsiaTheme="minorEastAsia" w:hAnsi="Times New Roman" w:cs="Times New Roman"/>
          <w:sz w:val="24"/>
          <w:szCs w:val="24"/>
          <w:lang w:val="en-US" w:eastAsia="en-IE"/>
        </w:rPr>
      </w:pPr>
      <w:r w:rsidRPr="00DE1FD6">
        <w:rPr>
          <w:rFonts w:eastAsiaTheme="minorEastAsia"/>
          <w:noProof/>
          <w:lang w:eastAsia="en-GB"/>
        </w:rPr>
        <mc:AlternateContent>
          <mc:Choice Requires="wps">
            <w:drawing>
              <wp:anchor distT="0" distB="0" distL="114300" distR="114300" simplePos="0" relativeHeight="251692032" behindDoc="1" locked="0" layoutInCell="0" allowOverlap="1" wp14:anchorId="492DF633" wp14:editId="034AE8E2">
                <wp:simplePos x="0" y="0"/>
                <wp:positionH relativeFrom="column">
                  <wp:posOffset>1601470</wp:posOffset>
                </wp:positionH>
                <wp:positionV relativeFrom="paragraph">
                  <wp:posOffset>8890</wp:posOffset>
                </wp:positionV>
                <wp:extent cx="4349750" cy="0"/>
                <wp:effectExtent l="10795" t="8890" r="11430" b="1016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7A96B" id="Straight Connector 19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7pt" to="468.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" o:allowincell="f" strokeweight=".16931mm"/>
            </w:pict>
          </mc:Fallback>
        </mc:AlternateContent>
      </w:r>
    </w:p>
    <w:p w:rsidR="00DE1FD6" w:rsidRPr="00DE1FD6" w:rsidRDefault="00DE1FD6" w:rsidP="00DE1FD6">
      <w:pPr>
        <w:widowControl w:val="0"/>
        <w:kinsoku w:val="0"/>
        <w:overflowPunct w:val="0"/>
        <w:autoSpaceDE w:val="0"/>
        <w:autoSpaceDN w:val="0"/>
        <w:adjustRightInd w:val="0"/>
        <w:spacing w:after="0" w:line="235" w:lineRule="auto"/>
        <w:ind w:left="2640" w:right="1100"/>
        <w:rPr>
          <w:rFonts w:ascii="Times New Roman" w:eastAsiaTheme="minorEastAsia" w:hAnsi="Times New Roman" w:cs="Times New Roman"/>
          <w:sz w:val="24"/>
          <w:szCs w:val="24"/>
          <w:lang w:val="en-US" w:eastAsia="en-IE"/>
        </w:rPr>
      </w:pPr>
      <w:r w:rsidRPr="00DE1FD6">
        <w:rPr>
          <w:rFonts w:ascii="Times" w:eastAsiaTheme="minorEastAsia" w:hAnsi="Times" w:cs="Times"/>
          <w:sz w:val="24"/>
          <w:szCs w:val="24"/>
          <w:lang w:val="en-US" w:eastAsia="en-IE"/>
        </w:rPr>
        <w:t>Potential of future environmental impact (i.e., diesel exhaust from trucks)</w:t>
      </w:r>
    </w:p>
    <w:p w:rsidR="00DE1FD6" w:rsidRPr="00207B36" w:rsidRDefault="00DE1FD6" w:rsidP="00207B36">
      <w:pPr>
        <w:widowControl w:val="0"/>
        <w:kinsoku w:val="0"/>
        <w:autoSpaceDE w:val="0"/>
        <w:autoSpaceDN w:val="0"/>
        <w:adjustRightInd w:val="0"/>
        <w:spacing w:after="0" w:line="480" w:lineRule="auto"/>
        <w:rPr>
          <w:rFonts w:ascii="Times New Roman" w:eastAsiaTheme="minorEastAsia" w:hAnsi="Times New Roman" w:cs="Times New Roman"/>
          <w:i/>
          <w:sz w:val="24"/>
          <w:szCs w:val="24"/>
          <w:lang w:val="en-US" w:eastAsia="en-IE"/>
        </w:rPr>
      </w:pPr>
      <w:r w:rsidRPr="00207B36">
        <w:rPr>
          <w:rFonts w:ascii="Times New Roman" w:eastAsiaTheme="minorEastAsia" w:hAnsi="Times New Roman" w:cs="Times New Roman"/>
          <w:i/>
          <w:noProof/>
          <w:sz w:val="24"/>
          <w:szCs w:val="24"/>
          <w:lang w:eastAsia="en-GB"/>
        </w:rPr>
        <mc:AlternateContent>
          <mc:Choice Requires="wps">
            <w:drawing>
              <wp:anchor distT="0" distB="0" distL="114300" distR="114300" simplePos="0" relativeHeight="251693056" behindDoc="1" locked="0" layoutInCell="0" allowOverlap="1" wp14:anchorId="6BD4DE38" wp14:editId="605E0C6C">
                <wp:simplePos x="0" y="0"/>
                <wp:positionH relativeFrom="column">
                  <wp:posOffset>504190</wp:posOffset>
                </wp:positionH>
                <wp:positionV relativeFrom="paragraph">
                  <wp:posOffset>8890</wp:posOffset>
                </wp:positionV>
                <wp:extent cx="5447030" cy="0"/>
                <wp:effectExtent l="8890" t="8890" r="11430" b="1016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70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F87FE" id="Straight Connector 19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7pt" to="468.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1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" o:allowincell="f" strokeweight=".16931mm"/>
            </w:pict>
          </mc:Fallback>
        </mc:AlternateContent>
      </w:r>
      <w:r w:rsidRPr="00207B36">
        <w:rPr>
          <w:rFonts w:ascii="Times New Roman" w:eastAsiaTheme="minorEastAsia" w:hAnsi="Times New Roman" w:cs="Times New Roman"/>
          <w:i/>
          <w:sz w:val="24"/>
          <w:szCs w:val="24"/>
          <w:lang w:val="en-US" w:eastAsia="en-IE"/>
        </w:rPr>
        <w:t>(Source: Reddy et al., 2014)</w:t>
      </w:r>
    </w:p>
    <w:p w:rsidR="00DE1FD6" w:rsidRPr="00207B36" w:rsidRDefault="00DE1FD6" w:rsidP="00207B36">
      <w:pPr>
        <w:widowControl w:val="0"/>
        <w:kinsoku w:val="0"/>
        <w:spacing w:after="0" w:line="480" w:lineRule="auto"/>
        <w:rPr>
          <w:rFonts w:ascii="Times New Roman" w:eastAsiaTheme="minorEastAsia" w:hAnsi="Times New Roman" w:cs="Times New Roman"/>
          <w:b/>
          <w:i/>
          <w:sz w:val="24"/>
          <w:szCs w:val="24"/>
          <w:lang w:val="en-US" w:eastAsia="en-IE"/>
        </w:rPr>
      </w:pPr>
    </w:p>
    <w:p w:rsidR="00DE1FD6" w:rsidRPr="00207B36" w:rsidRDefault="00DE1FD6" w:rsidP="00207B36">
      <w:pPr>
        <w:widowControl w:val="0"/>
        <w:kinsoku w:val="0"/>
        <w:spacing w:after="0" w:line="480" w:lineRule="auto"/>
        <w:rPr>
          <w:rFonts w:ascii="Times New Roman" w:eastAsiaTheme="minorEastAsia" w:hAnsi="Times New Roman" w:cs="Times New Roman"/>
          <w:b/>
          <w:i/>
          <w:sz w:val="24"/>
          <w:szCs w:val="24"/>
          <w:lang w:val="en-US" w:eastAsia="en-IE"/>
        </w:rPr>
      </w:pPr>
    </w:p>
    <w:p w:rsidR="00D57172" w:rsidRPr="00207B36" w:rsidRDefault="00D57172" w:rsidP="00207B36">
      <w:pPr>
        <w:spacing w:line="480" w:lineRule="auto"/>
        <w:rPr>
          <w:rFonts w:ascii="Times New Roman" w:hAnsi="Times New Roman" w:cs="Times New Roman"/>
          <w:b/>
          <w:i/>
          <w:sz w:val="24"/>
          <w:szCs w:val="24"/>
        </w:rPr>
      </w:pPr>
      <w:r w:rsidRPr="00207B36">
        <w:rPr>
          <w:rFonts w:ascii="Times New Roman" w:hAnsi="Times New Roman" w:cs="Times New Roman"/>
          <w:b/>
          <w:i/>
          <w:sz w:val="24"/>
          <w:szCs w:val="24"/>
        </w:rPr>
        <w:t>Social Sustainability Discussion</w:t>
      </w:r>
    </w:p>
    <w:p w:rsidR="003C5E54" w:rsidRPr="00207B36" w:rsidRDefault="003C5E54"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The first stakeholders in the biomass supply chain are primary producers i.e. farmers. Farmer participation is critical for the success of any bioeconomy initiative. Whereas the adoption of biogas has for example allowed German farmers to keep the extra income generated by electricity and heat on their own farms, other bioenergy models have pro</w:t>
      </w:r>
      <w:r w:rsidRPr="00207B36">
        <w:rPr>
          <w:rFonts w:ascii="Times New Roman" w:hAnsi="Times New Roman" w:cs="Times New Roman"/>
          <w:sz w:val="24"/>
          <w:szCs w:val="24"/>
          <w:lang w:val="en-US"/>
        </w:rPr>
        <w:softHyphen/>
        <w:t xml:space="preserve">vided fewer economic incentives to farmers. The lack of involvement of smallholder farmers in the development of biofuels and bioenergy has been criticized to be a major reason for their poor acceptance in the wider community. However, there is a </w:t>
      </w:r>
      <w:r w:rsidR="0094554A" w:rsidRPr="00207B36">
        <w:rPr>
          <w:rFonts w:ascii="Times New Roman" w:hAnsi="Times New Roman" w:cs="Times New Roman"/>
          <w:sz w:val="24"/>
          <w:szCs w:val="24"/>
          <w:lang w:val="en-US"/>
        </w:rPr>
        <w:t xml:space="preserve">socio-individual </w:t>
      </w:r>
      <w:r w:rsidRPr="00207B36">
        <w:rPr>
          <w:rFonts w:ascii="Times New Roman" w:hAnsi="Times New Roman" w:cs="Times New Roman"/>
          <w:sz w:val="24"/>
          <w:szCs w:val="24"/>
          <w:lang w:val="en-US"/>
        </w:rPr>
        <w:t>learning process where farmers may slowly and reluctantly adopt multifunctional agriculture in response to incentives or regulations (carrots or sticks), and then gradually internalize the new behaviors (Stobbelaar et al. 2009). De Schutter (2011) criticises “land grabbing” – the purchasing of land, mainly in Africa and Asia, by big companies – because it limits the access of local rural communities to land and water resources,</w:t>
      </w:r>
      <w:r w:rsidR="0094554A" w:rsidRPr="00207B36">
        <w:rPr>
          <w:rFonts w:ascii="Times New Roman" w:hAnsi="Times New Roman" w:cs="Times New Roman"/>
          <w:sz w:val="24"/>
          <w:szCs w:val="24"/>
          <w:lang w:val="en-US"/>
        </w:rPr>
        <w:t xml:space="preserve"> and hinders the socio-economic development</w:t>
      </w:r>
      <w:r w:rsidRPr="00207B36">
        <w:rPr>
          <w:rFonts w:ascii="Times New Roman" w:hAnsi="Times New Roman" w:cs="Times New Roman"/>
          <w:sz w:val="24"/>
          <w:szCs w:val="24"/>
          <w:lang w:val="en-US"/>
        </w:rPr>
        <w:t xml:space="preserve">. The longer the market chain, the more difficult it is for primary producer to access the market. </w:t>
      </w:r>
      <w:r w:rsidRPr="00207B36">
        <w:rPr>
          <w:rFonts w:ascii="Times New Roman" w:hAnsi="Times New Roman" w:cs="Times New Roman"/>
          <w:sz w:val="24"/>
          <w:szCs w:val="24"/>
          <w:lang w:val="en-US"/>
        </w:rPr>
        <w:lastRenderedPageBreak/>
        <w:t xml:space="preserve">The development of biomass certification schemes has on the ground actually disadvantaged small producers </w:t>
      </w:r>
      <w:r w:rsidR="0094554A" w:rsidRPr="00207B36">
        <w:rPr>
          <w:rFonts w:ascii="Times New Roman" w:hAnsi="Times New Roman" w:cs="Times New Roman"/>
          <w:sz w:val="24"/>
          <w:szCs w:val="24"/>
          <w:lang w:val="en-US"/>
        </w:rPr>
        <w:t xml:space="preserve">on a socio-institutional level due to the </w:t>
      </w:r>
      <w:r w:rsidRPr="00207B36">
        <w:rPr>
          <w:rFonts w:ascii="Times New Roman" w:hAnsi="Times New Roman" w:cs="Times New Roman"/>
          <w:sz w:val="24"/>
          <w:szCs w:val="24"/>
          <w:lang w:val="en-US"/>
        </w:rPr>
        <w:t>additional costs for controls and organizational requirements (Markelova et al., 2009).</w:t>
      </w:r>
    </w:p>
    <w:p w:rsidR="00B62DB8" w:rsidRPr="00207B36" w:rsidRDefault="00B62DB8" w:rsidP="00207B36">
      <w:pPr>
        <w:spacing w:line="480" w:lineRule="auto"/>
        <w:rPr>
          <w:rFonts w:ascii="Times New Roman" w:hAnsi="Times New Roman" w:cs="Times New Roman"/>
          <w:b/>
          <w:i/>
          <w:sz w:val="24"/>
          <w:szCs w:val="24"/>
          <w:lang w:val="en-US"/>
        </w:rPr>
      </w:pPr>
      <w:r w:rsidRPr="00207B36">
        <w:rPr>
          <w:rFonts w:ascii="Times New Roman" w:hAnsi="Times New Roman" w:cs="Times New Roman"/>
          <w:b/>
          <w:i/>
          <w:sz w:val="24"/>
          <w:szCs w:val="24"/>
          <w:lang w:val="en-US"/>
        </w:rPr>
        <w:t>Social Sustainability Evaluation steps:</w:t>
      </w:r>
    </w:p>
    <w:p w:rsidR="00B62DB8" w:rsidRPr="00207B36" w:rsidRDefault="00B62DB8" w:rsidP="00207B36">
      <w:pPr>
        <w:numPr>
          <w:ilvl w:val="0"/>
          <w:numId w:val="12"/>
        </w:numPr>
        <w:spacing w:line="480" w:lineRule="auto"/>
        <w:contextualSpacing/>
        <w:rPr>
          <w:rFonts w:ascii="Times New Roman" w:hAnsi="Times New Roman" w:cs="Times New Roman"/>
          <w:sz w:val="24"/>
          <w:szCs w:val="24"/>
          <w:lang w:val="en-US"/>
        </w:rPr>
      </w:pPr>
      <w:r w:rsidRPr="00207B36">
        <w:rPr>
          <w:rFonts w:ascii="Times New Roman" w:hAnsi="Times New Roman" w:cs="Times New Roman"/>
          <w:sz w:val="24"/>
          <w:szCs w:val="24"/>
          <w:lang w:val="en-US"/>
        </w:rPr>
        <w:t>Survey to find out population perception about the project</w:t>
      </w:r>
    </w:p>
    <w:p w:rsidR="00B62DB8" w:rsidRPr="00207B36" w:rsidRDefault="00B62DB8" w:rsidP="00207B36">
      <w:pPr>
        <w:numPr>
          <w:ilvl w:val="0"/>
          <w:numId w:val="12"/>
        </w:numPr>
        <w:spacing w:line="480" w:lineRule="auto"/>
        <w:contextualSpacing/>
        <w:rPr>
          <w:rFonts w:ascii="Times New Roman" w:hAnsi="Times New Roman" w:cs="Times New Roman"/>
          <w:sz w:val="24"/>
          <w:szCs w:val="24"/>
          <w:lang w:val="en-US"/>
        </w:rPr>
      </w:pPr>
      <w:r w:rsidRPr="00207B36">
        <w:rPr>
          <w:rFonts w:ascii="Times New Roman" w:hAnsi="Times New Roman" w:cs="Times New Roman"/>
          <w:sz w:val="24"/>
          <w:szCs w:val="24"/>
          <w:lang w:val="en-US"/>
        </w:rPr>
        <w:t>Convert the perceptions into the SSEM scoring system</w:t>
      </w:r>
    </w:p>
    <w:p w:rsidR="00DE1FD6" w:rsidRDefault="00B62DB8" w:rsidP="00207B36">
      <w:pPr>
        <w:numPr>
          <w:ilvl w:val="0"/>
          <w:numId w:val="12"/>
        </w:numPr>
        <w:spacing w:line="480" w:lineRule="auto"/>
        <w:contextualSpacing/>
        <w:rPr>
          <w:rFonts w:ascii="Times New Roman" w:hAnsi="Times New Roman" w:cs="Times New Roman"/>
          <w:sz w:val="24"/>
          <w:szCs w:val="24"/>
          <w:lang w:val="en-US"/>
        </w:rPr>
      </w:pPr>
      <w:bookmarkStart w:id="8" w:name="_Hlk480141728"/>
      <w:r w:rsidRPr="00207B36">
        <w:rPr>
          <w:rFonts w:ascii="Times New Roman" w:hAnsi="Times New Roman" w:cs="Times New Roman"/>
          <w:sz w:val="24"/>
          <w:szCs w:val="24"/>
          <w:lang w:val="en-US"/>
        </w:rPr>
        <w:t>Normalization and weightage</w:t>
      </w:r>
      <w:r w:rsidRPr="00207B36">
        <w:rPr>
          <w:rFonts w:ascii="Times New Roman" w:hAnsi="Times New Roman" w:cs="Times New Roman"/>
          <w:sz w:val="24"/>
          <w:szCs w:val="24"/>
        </w:rPr>
        <w:t xml:space="preserve"> </w:t>
      </w:r>
      <w:r w:rsidRPr="00207B36">
        <w:rPr>
          <w:rFonts w:ascii="Times New Roman" w:hAnsi="Times New Roman" w:cs="Times New Roman"/>
          <w:sz w:val="24"/>
          <w:szCs w:val="24"/>
          <w:lang w:val="en-US"/>
        </w:rPr>
        <w:t>depending on relative importance of various categories</w:t>
      </w:r>
      <w:bookmarkEnd w:id="8"/>
    </w:p>
    <w:p w:rsidR="00207B36" w:rsidRPr="00207B36" w:rsidRDefault="00207B36" w:rsidP="00207B36">
      <w:pPr>
        <w:spacing w:line="480" w:lineRule="auto"/>
        <w:ind w:left="720"/>
        <w:contextualSpacing/>
        <w:rPr>
          <w:rFonts w:ascii="Times New Roman" w:hAnsi="Times New Roman" w:cs="Times New Roman"/>
          <w:sz w:val="24"/>
          <w:szCs w:val="24"/>
          <w:lang w:val="en-US"/>
        </w:rPr>
      </w:pPr>
    </w:p>
    <w:p w:rsidR="00026395" w:rsidRPr="00207B36" w:rsidRDefault="00026395" w:rsidP="00207B36">
      <w:pPr>
        <w:spacing w:after="200" w:line="480" w:lineRule="auto"/>
        <w:rPr>
          <w:rFonts w:ascii="Times New Roman" w:hAnsi="Times New Roman" w:cs="Times New Roman"/>
          <w:b/>
          <w:i/>
          <w:sz w:val="24"/>
          <w:szCs w:val="24"/>
        </w:rPr>
      </w:pPr>
      <w:r w:rsidRPr="00207B36">
        <w:rPr>
          <w:rFonts w:ascii="Times New Roman" w:hAnsi="Times New Roman" w:cs="Times New Roman"/>
          <w:b/>
          <w:i/>
          <w:sz w:val="24"/>
          <w:szCs w:val="24"/>
        </w:rPr>
        <w:t>Social Sustainability Evaluation:</w:t>
      </w:r>
    </w:p>
    <w:p w:rsidR="00026395" w:rsidRPr="00207B36" w:rsidRDefault="00026395"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Step 1: Social sustainability evaluation: It might be difficult to quantify the value of parameters such as cultural identity and promotion, overall public health and happiness etc. It is re</w:t>
      </w:r>
      <w:r w:rsidR="00841D44" w:rsidRPr="00207B36">
        <w:rPr>
          <w:rFonts w:ascii="Times New Roman" w:hAnsi="Times New Roman" w:cs="Times New Roman"/>
          <w:sz w:val="24"/>
          <w:szCs w:val="24"/>
        </w:rPr>
        <w:t>commended to conduct a survey about</w:t>
      </w:r>
      <w:r w:rsidRPr="00207B36">
        <w:rPr>
          <w:rFonts w:ascii="Times New Roman" w:hAnsi="Times New Roman" w:cs="Times New Roman"/>
          <w:sz w:val="24"/>
          <w:szCs w:val="24"/>
        </w:rPr>
        <w:t xml:space="preserve"> the affected population and take the mean of the results as the value of that</w:t>
      </w:r>
      <w:r w:rsidR="00841D44" w:rsidRPr="00207B36">
        <w:rPr>
          <w:rFonts w:ascii="Times New Roman" w:hAnsi="Times New Roman" w:cs="Times New Roman"/>
          <w:sz w:val="24"/>
          <w:szCs w:val="24"/>
        </w:rPr>
        <w:t xml:space="preserve"> parameter (Current author</w:t>
      </w:r>
      <w:r w:rsidRPr="00207B36">
        <w:rPr>
          <w:rFonts w:ascii="Times New Roman" w:hAnsi="Times New Roman" w:cs="Times New Roman"/>
          <w:sz w:val="24"/>
          <w:szCs w:val="24"/>
        </w:rPr>
        <w:t xml:space="preserve">). </w:t>
      </w:r>
    </w:p>
    <w:p w:rsidR="00026395" w:rsidRPr="00207B36" w:rsidRDefault="00026395"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Step 2: A scoring system has been</w:t>
      </w:r>
      <w:r w:rsidR="004A0EBF" w:rsidRPr="00207B36">
        <w:rPr>
          <w:rFonts w:ascii="Times New Roman" w:hAnsi="Times New Roman" w:cs="Times New Roman"/>
          <w:sz w:val="24"/>
          <w:szCs w:val="24"/>
        </w:rPr>
        <w:t xml:space="preserve"> shown in Table 5</w:t>
      </w:r>
      <w:r w:rsidRPr="00207B36">
        <w:rPr>
          <w:rFonts w:ascii="Times New Roman" w:hAnsi="Times New Roman" w:cs="Times New Roman"/>
          <w:sz w:val="24"/>
          <w:szCs w:val="24"/>
        </w:rPr>
        <w:t>, with zero value for no impacts, +1 or +2 for positive impacts, and -1 or -2 for negative impacts</w:t>
      </w:r>
      <w:r w:rsidR="00927BE1" w:rsidRPr="00207B36">
        <w:rPr>
          <w:rFonts w:ascii="Times New Roman" w:hAnsi="Times New Roman" w:cs="Times New Roman"/>
          <w:sz w:val="24"/>
          <w:szCs w:val="24"/>
        </w:rPr>
        <w:t xml:space="preserve"> (Reddy et al., 2014)</w:t>
      </w:r>
      <w:r w:rsidRPr="00207B36">
        <w:rPr>
          <w:rFonts w:ascii="Times New Roman" w:hAnsi="Times New Roman" w:cs="Times New Roman"/>
          <w:sz w:val="24"/>
          <w:szCs w:val="24"/>
        </w:rPr>
        <w:t xml:space="preserve">. The total sum of all categories is considered along with “no action” option. The scores can be given based on pre-determined threshold for country specific economic, environment and environmental thresholds. </w:t>
      </w:r>
      <w:r w:rsidR="00606DCB" w:rsidRPr="00207B36">
        <w:rPr>
          <w:rFonts w:ascii="Times New Roman" w:hAnsi="Times New Roman" w:cs="Times New Roman"/>
          <w:sz w:val="24"/>
          <w:szCs w:val="24"/>
        </w:rPr>
        <w:t>For example, if mo</w:t>
      </w:r>
      <w:r w:rsidR="008D2472" w:rsidRPr="00207B36">
        <w:rPr>
          <w:rFonts w:ascii="Times New Roman" w:hAnsi="Times New Roman" w:cs="Times New Roman"/>
          <w:sz w:val="24"/>
          <w:szCs w:val="24"/>
        </w:rPr>
        <w:t>re than 80% of population believes</w:t>
      </w:r>
      <w:r w:rsidR="00606DCB" w:rsidRPr="00207B36">
        <w:rPr>
          <w:rFonts w:ascii="Times New Roman" w:hAnsi="Times New Roman" w:cs="Times New Roman"/>
          <w:sz w:val="24"/>
          <w:szCs w:val="24"/>
        </w:rPr>
        <w:t xml:space="preserve"> a particular aspect of social sustainabilit</w:t>
      </w:r>
      <w:r w:rsidR="008D2472" w:rsidRPr="00207B36">
        <w:rPr>
          <w:rFonts w:ascii="Times New Roman" w:hAnsi="Times New Roman" w:cs="Times New Roman"/>
          <w:sz w:val="24"/>
          <w:szCs w:val="24"/>
        </w:rPr>
        <w:t>y will be improved by implementing</w:t>
      </w:r>
      <w:r w:rsidR="00606DCB" w:rsidRPr="00207B36">
        <w:rPr>
          <w:rFonts w:ascii="Times New Roman" w:hAnsi="Times New Roman" w:cs="Times New Roman"/>
          <w:sz w:val="24"/>
          <w:szCs w:val="24"/>
        </w:rPr>
        <w:t xml:space="preserve"> a new biochain, then the factor can be ranked 2, whereas if only 50% population thinks that a social sustainability factor would be improved, the factor can accordingly be ranked 0. </w:t>
      </w:r>
      <w:r w:rsidRPr="00207B36">
        <w:rPr>
          <w:rFonts w:ascii="Times New Roman" w:hAnsi="Times New Roman" w:cs="Times New Roman"/>
          <w:sz w:val="24"/>
          <w:szCs w:val="24"/>
        </w:rPr>
        <w:t xml:space="preserve">This system provides an easy but efficient way to rank the criteria. </w:t>
      </w:r>
    </w:p>
    <w:p w:rsidR="00207B36" w:rsidRDefault="00207B36" w:rsidP="00207B36">
      <w:pPr>
        <w:spacing w:after="200" w:line="480" w:lineRule="auto"/>
        <w:rPr>
          <w:rFonts w:ascii="Times New Roman" w:hAnsi="Times New Roman" w:cs="Times New Roman"/>
          <w:b/>
          <w:i/>
          <w:sz w:val="24"/>
          <w:szCs w:val="24"/>
        </w:rPr>
      </w:pPr>
    </w:p>
    <w:p w:rsidR="00026395" w:rsidRPr="00207B36" w:rsidRDefault="00026395" w:rsidP="00207B36">
      <w:pPr>
        <w:spacing w:after="200" w:line="480" w:lineRule="auto"/>
        <w:rPr>
          <w:rFonts w:ascii="Times New Roman" w:hAnsi="Times New Roman" w:cs="Times New Roman"/>
          <w:b/>
          <w:i/>
          <w:sz w:val="24"/>
          <w:szCs w:val="24"/>
        </w:rPr>
      </w:pPr>
      <w:r w:rsidRPr="00207B36">
        <w:rPr>
          <w:rFonts w:ascii="Times New Roman" w:hAnsi="Times New Roman" w:cs="Times New Roman"/>
          <w:b/>
          <w:i/>
          <w:sz w:val="24"/>
          <w:szCs w:val="24"/>
        </w:rPr>
        <w:lastRenderedPageBreak/>
        <w:t>Table 5: Scoring system</w:t>
      </w:r>
    </w:p>
    <w:tbl>
      <w:tblPr>
        <w:tblW w:w="9300" w:type="dxa"/>
        <w:tblInd w:w="5" w:type="dxa"/>
        <w:tblLayout w:type="fixed"/>
        <w:tblCellMar>
          <w:left w:w="0" w:type="dxa"/>
          <w:right w:w="0" w:type="dxa"/>
        </w:tblCellMar>
        <w:tblLook w:val="04A0" w:firstRow="1" w:lastRow="0" w:firstColumn="1" w:lastColumn="0" w:noHBand="0" w:noVBand="1"/>
      </w:tblPr>
      <w:tblGrid>
        <w:gridCol w:w="1931"/>
        <w:gridCol w:w="1460"/>
        <w:gridCol w:w="2160"/>
        <w:gridCol w:w="1815"/>
        <w:gridCol w:w="1934"/>
      </w:tblGrid>
      <w:tr w:rsidR="00026395" w:rsidRPr="00207B36" w:rsidTr="000B5B05">
        <w:trPr>
          <w:cantSplit/>
          <w:trHeight w:hRule="exact" w:val="288"/>
        </w:trPr>
        <w:tc>
          <w:tcPr>
            <w:tcW w:w="3391" w:type="dxa"/>
            <w:gridSpan w:val="2"/>
            <w:tcBorders>
              <w:top w:val="single" w:sz="4" w:space="0" w:color="auto"/>
              <w:left w:val="single" w:sz="4" w:space="0" w:color="auto"/>
              <w:bottom w:val="single" w:sz="4" w:space="0" w:color="auto"/>
              <w:right w:val="single" w:sz="4" w:space="0" w:color="auto"/>
            </w:tcBorders>
            <w:vAlign w:val="center"/>
            <w:hideMark/>
          </w:tcPr>
          <w:p w:rsidR="00026395" w:rsidRPr="00207B36" w:rsidRDefault="00026395" w:rsidP="00207B36">
            <w:pPr>
              <w:spacing w:after="200" w:line="480" w:lineRule="auto"/>
              <w:ind w:left="720"/>
              <w:rPr>
                <w:rFonts w:ascii="Times New Roman" w:hAnsi="Times New Roman" w:cs="Times New Roman"/>
                <w:sz w:val="24"/>
                <w:szCs w:val="24"/>
              </w:rPr>
            </w:pPr>
            <w:r w:rsidRPr="00207B36">
              <w:rPr>
                <w:rFonts w:ascii="Times New Roman" w:hAnsi="Times New Roman" w:cs="Times New Roman"/>
                <w:sz w:val="24"/>
                <w:szCs w:val="24"/>
              </w:rPr>
              <w:t>Positive Impact</w:t>
            </w:r>
          </w:p>
        </w:tc>
        <w:tc>
          <w:tcPr>
            <w:tcW w:w="2160" w:type="dxa"/>
            <w:vMerge w:val="restart"/>
            <w:tcBorders>
              <w:top w:val="single" w:sz="4" w:space="0" w:color="auto"/>
              <w:left w:val="single" w:sz="4" w:space="0" w:color="auto"/>
              <w:bottom w:val="single" w:sz="4" w:space="0" w:color="auto"/>
              <w:right w:val="single" w:sz="4" w:space="0" w:color="auto"/>
            </w:tcBorders>
            <w:hideMark/>
          </w:tcPr>
          <w:p w:rsidR="00026395" w:rsidRPr="00207B36" w:rsidRDefault="00DE1FD6" w:rsidP="00207B36">
            <w:pPr>
              <w:spacing w:after="200" w:line="480" w:lineRule="auto"/>
              <w:ind w:left="720"/>
              <w:rPr>
                <w:rFonts w:ascii="Times New Roman" w:hAnsi="Times New Roman" w:cs="Times New Roman"/>
                <w:sz w:val="24"/>
                <w:szCs w:val="24"/>
              </w:rPr>
            </w:pPr>
            <w:r w:rsidRPr="00207B36">
              <w:rPr>
                <w:rFonts w:ascii="Times New Roman" w:hAnsi="Times New Roman" w:cs="Times New Roman"/>
                <w:sz w:val="24"/>
                <w:szCs w:val="24"/>
              </w:rPr>
              <w:t>No Impact or N/A</w:t>
            </w:r>
          </w:p>
        </w:tc>
        <w:tc>
          <w:tcPr>
            <w:tcW w:w="3749" w:type="dxa"/>
            <w:gridSpan w:val="2"/>
            <w:tcBorders>
              <w:top w:val="single" w:sz="4" w:space="0" w:color="auto"/>
              <w:left w:val="single" w:sz="4" w:space="0" w:color="auto"/>
              <w:bottom w:val="single" w:sz="4" w:space="0" w:color="auto"/>
              <w:right w:val="single" w:sz="4" w:space="0" w:color="auto"/>
            </w:tcBorders>
            <w:vAlign w:val="center"/>
            <w:hideMark/>
          </w:tcPr>
          <w:p w:rsidR="00026395" w:rsidRPr="00207B36" w:rsidRDefault="00026395" w:rsidP="00207B36">
            <w:pPr>
              <w:spacing w:after="200" w:line="480" w:lineRule="auto"/>
              <w:ind w:left="720"/>
              <w:rPr>
                <w:rFonts w:ascii="Times New Roman" w:hAnsi="Times New Roman" w:cs="Times New Roman"/>
                <w:sz w:val="24"/>
                <w:szCs w:val="24"/>
              </w:rPr>
            </w:pPr>
            <w:r w:rsidRPr="00207B36">
              <w:rPr>
                <w:rFonts w:ascii="Times New Roman" w:hAnsi="Times New Roman" w:cs="Times New Roman"/>
                <w:sz w:val="24"/>
                <w:szCs w:val="24"/>
              </w:rPr>
              <w:t>Negative Impact</w:t>
            </w:r>
          </w:p>
        </w:tc>
      </w:tr>
      <w:tr w:rsidR="00026395" w:rsidRPr="00207B36" w:rsidTr="000B5B05">
        <w:trPr>
          <w:cantSplit/>
          <w:trHeight w:hRule="exact" w:val="365"/>
        </w:trPr>
        <w:tc>
          <w:tcPr>
            <w:tcW w:w="1931" w:type="dxa"/>
            <w:tcBorders>
              <w:top w:val="single" w:sz="4" w:space="0" w:color="auto"/>
              <w:left w:val="single" w:sz="4" w:space="0" w:color="auto"/>
              <w:bottom w:val="single" w:sz="4" w:space="0" w:color="auto"/>
              <w:right w:val="single" w:sz="4" w:space="0" w:color="auto"/>
            </w:tcBorders>
            <w:vAlign w:val="center"/>
            <w:hideMark/>
          </w:tcPr>
          <w:p w:rsidR="00026395" w:rsidRPr="00207B36" w:rsidRDefault="00026395"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Ideal</w:t>
            </w:r>
          </w:p>
        </w:tc>
        <w:tc>
          <w:tcPr>
            <w:tcW w:w="1460" w:type="dxa"/>
            <w:tcBorders>
              <w:top w:val="single" w:sz="4" w:space="0" w:color="auto"/>
              <w:left w:val="single" w:sz="4" w:space="0" w:color="auto"/>
              <w:bottom w:val="single" w:sz="4" w:space="0" w:color="auto"/>
              <w:right w:val="single" w:sz="4" w:space="0" w:color="auto"/>
            </w:tcBorders>
            <w:vAlign w:val="center"/>
            <w:hideMark/>
          </w:tcPr>
          <w:p w:rsidR="00026395" w:rsidRPr="00207B36" w:rsidRDefault="00026395"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Improved</w:t>
            </w: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026395" w:rsidRPr="00207B36" w:rsidRDefault="00026395" w:rsidP="00207B36">
            <w:pPr>
              <w:spacing w:line="480" w:lineRule="auto"/>
              <w:rPr>
                <w:rFonts w:ascii="Times New Roman" w:hAnsi="Times New Roman" w:cs="Times New Roman"/>
                <w:sz w:val="24"/>
                <w:szCs w:val="24"/>
                <w:lang w:val="en-US"/>
              </w:rPr>
            </w:pPr>
          </w:p>
        </w:tc>
        <w:tc>
          <w:tcPr>
            <w:tcW w:w="1815" w:type="dxa"/>
            <w:tcBorders>
              <w:top w:val="single" w:sz="4" w:space="0" w:color="auto"/>
              <w:left w:val="single" w:sz="4" w:space="0" w:color="auto"/>
              <w:bottom w:val="single" w:sz="4" w:space="0" w:color="auto"/>
              <w:right w:val="single" w:sz="4" w:space="0" w:color="auto"/>
            </w:tcBorders>
            <w:vAlign w:val="center"/>
            <w:hideMark/>
          </w:tcPr>
          <w:p w:rsidR="00026395" w:rsidRPr="00207B36" w:rsidRDefault="00026395"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Diminished</w:t>
            </w:r>
          </w:p>
        </w:tc>
        <w:tc>
          <w:tcPr>
            <w:tcW w:w="1934" w:type="dxa"/>
            <w:tcBorders>
              <w:top w:val="single" w:sz="4" w:space="0" w:color="auto"/>
              <w:left w:val="single" w:sz="4" w:space="0" w:color="auto"/>
              <w:bottom w:val="single" w:sz="4" w:space="0" w:color="auto"/>
              <w:right w:val="single" w:sz="4" w:space="0" w:color="auto"/>
            </w:tcBorders>
            <w:vAlign w:val="center"/>
            <w:hideMark/>
          </w:tcPr>
          <w:p w:rsidR="00026395" w:rsidRPr="00207B36" w:rsidRDefault="00026395"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Unacceptable</w:t>
            </w:r>
          </w:p>
        </w:tc>
      </w:tr>
      <w:tr w:rsidR="00026395" w:rsidRPr="00207B36" w:rsidTr="000B5B05">
        <w:trPr>
          <w:trHeight w:hRule="exact" w:val="293"/>
        </w:trPr>
        <w:tc>
          <w:tcPr>
            <w:tcW w:w="1931" w:type="dxa"/>
            <w:tcBorders>
              <w:top w:val="single" w:sz="4" w:space="0" w:color="auto"/>
              <w:left w:val="single" w:sz="4" w:space="0" w:color="auto"/>
              <w:bottom w:val="single" w:sz="4" w:space="0" w:color="auto"/>
              <w:right w:val="single" w:sz="4" w:space="0" w:color="auto"/>
            </w:tcBorders>
            <w:vAlign w:val="center"/>
            <w:hideMark/>
          </w:tcPr>
          <w:p w:rsidR="00026395" w:rsidRPr="00207B36" w:rsidRDefault="00026395" w:rsidP="00207B36">
            <w:pPr>
              <w:spacing w:after="200" w:line="480" w:lineRule="auto"/>
              <w:ind w:left="720"/>
              <w:rPr>
                <w:rFonts w:ascii="Times New Roman" w:hAnsi="Times New Roman" w:cs="Times New Roman"/>
                <w:sz w:val="24"/>
                <w:szCs w:val="24"/>
              </w:rPr>
            </w:pPr>
            <w:r w:rsidRPr="00207B36">
              <w:rPr>
                <w:rFonts w:ascii="Times New Roman" w:hAnsi="Times New Roman" w:cs="Times New Roman"/>
                <w:sz w:val="24"/>
                <w:szCs w:val="24"/>
              </w:rPr>
              <w:t>2</w:t>
            </w:r>
          </w:p>
        </w:tc>
        <w:tc>
          <w:tcPr>
            <w:tcW w:w="1460" w:type="dxa"/>
            <w:tcBorders>
              <w:top w:val="single" w:sz="4" w:space="0" w:color="auto"/>
              <w:left w:val="single" w:sz="4" w:space="0" w:color="auto"/>
              <w:bottom w:val="single" w:sz="4" w:space="0" w:color="auto"/>
              <w:right w:val="single" w:sz="4" w:space="0" w:color="auto"/>
            </w:tcBorders>
            <w:vAlign w:val="center"/>
            <w:hideMark/>
          </w:tcPr>
          <w:p w:rsidR="00026395" w:rsidRPr="00207B36" w:rsidRDefault="00026395" w:rsidP="00207B36">
            <w:pPr>
              <w:spacing w:after="200" w:line="480" w:lineRule="auto"/>
              <w:ind w:left="720"/>
              <w:rPr>
                <w:rFonts w:ascii="Times New Roman" w:hAnsi="Times New Roman" w:cs="Times New Roman"/>
                <w:sz w:val="24"/>
                <w:szCs w:val="24"/>
              </w:rPr>
            </w:pPr>
            <w:r w:rsidRPr="00207B36">
              <w:rPr>
                <w:rFonts w:ascii="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rsidR="00026395" w:rsidRPr="00207B36" w:rsidRDefault="00026395" w:rsidP="00207B36">
            <w:pPr>
              <w:spacing w:after="200" w:line="480" w:lineRule="auto"/>
              <w:ind w:left="720"/>
              <w:rPr>
                <w:rFonts w:ascii="Times New Roman" w:hAnsi="Times New Roman" w:cs="Times New Roman"/>
                <w:sz w:val="24"/>
                <w:szCs w:val="24"/>
              </w:rPr>
            </w:pPr>
            <w:r w:rsidRPr="00207B36">
              <w:rPr>
                <w:rFonts w:ascii="Times New Roman" w:hAnsi="Times New Roman" w:cs="Times New Roman"/>
                <w:sz w:val="24"/>
                <w:szCs w:val="24"/>
              </w:rPr>
              <w:t>0</w:t>
            </w:r>
          </w:p>
        </w:tc>
        <w:tc>
          <w:tcPr>
            <w:tcW w:w="1815" w:type="dxa"/>
            <w:tcBorders>
              <w:top w:val="single" w:sz="4" w:space="0" w:color="auto"/>
              <w:left w:val="single" w:sz="4" w:space="0" w:color="auto"/>
              <w:bottom w:val="single" w:sz="4" w:space="0" w:color="auto"/>
              <w:right w:val="single" w:sz="4" w:space="0" w:color="auto"/>
            </w:tcBorders>
            <w:vAlign w:val="center"/>
            <w:hideMark/>
          </w:tcPr>
          <w:p w:rsidR="00026395" w:rsidRPr="00207B36" w:rsidRDefault="00026395" w:rsidP="00207B36">
            <w:pPr>
              <w:spacing w:after="200" w:line="480" w:lineRule="auto"/>
              <w:ind w:left="720"/>
              <w:rPr>
                <w:rFonts w:ascii="Times New Roman" w:hAnsi="Times New Roman" w:cs="Times New Roman"/>
                <w:sz w:val="24"/>
                <w:szCs w:val="24"/>
              </w:rPr>
            </w:pPr>
            <w:r w:rsidRPr="00207B36">
              <w:rPr>
                <w:rFonts w:ascii="Times New Roman" w:hAnsi="Times New Roman" w:cs="Times New Roman"/>
                <w:sz w:val="24"/>
                <w:szCs w:val="24"/>
              </w:rPr>
              <w:t>-1</w:t>
            </w:r>
          </w:p>
        </w:tc>
        <w:tc>
          <w:tcPr>
            <w:tcW w:w="1934" w:type="dxa"/>
            <w:tcBorders>
              <w:top w:val="single" w:sz="4" w:space="0" w:color="auto"/>
              <w:left w:val="single" w:sz="4" w:space="0" w:color="auto"/>
              <w:bottom w:val="single" w:sz="4" w:space="0" w:color="auto"/>
              <w:right w:val="single" w:sz="4" w:space="0" w:color="auto"/>
            </w:tcBorders>
            <w:vAlign w:val="center"/>
            <w:hideMark/>
          </w:tcPr>
          <w:p w:rsidR="00026395" w:rsidRPr="00207B36" w:rsidRDefault="00026395" w:rsidP="00207B36">
            <w:pPr>
              <w:spacing w:after="200" w:line="480" w:lineRule="auto"/>
              <w:ind w:left="720"/>
              <w:rPr>
                <w:rFonts w:ascii="Times New Roman" w:hAnsi="Times New Roman" w:cs="Times New Roman"/>
                <w:sz w:val="24"/>
                <w:szCs w:val="24"/>
              </w:rPr>
            </w:pPr>
            <w:r w:rsidRPr="00207B36">
              <w:rPr>
                <w:rFonts w:ascii="Times New Roman" w:hAnsi="Times New Roman" w:cs="Times New Roman"/>
                <w:sz w:val="24"/>
                <w:szCs w:val="24"/>
              </w:rPr>
              <w:t>-2</w:t>
            </w:r>
          </w:p>
        </w:tc>
      </w:tr>
    </w:tbl>
    <w:p w:rsidR="000B5B05" w:rsidRPr="00207B36" w:rsidRDefault="000B5B05"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(Source: Reddy et al., 2014)</w:t>
      </w:r>
    </w:p>
    <w:p w:rsidR="0094554A" w:rsidRPr="00207B36" w:rsidRDefault="00F949A9" w:rsidP="00207B36">
      <w:pPr>
        <w:spacing w:line="480" w:lineRule="auto"/>
        <w:rPr>
          <w:rFonts w:ascii="Times New Roman" w:hAnsi="Times New Roman" w:cs="Times New Roman"/>
          <w:b/>
          <w:i/>
          <w:sz w:val="24"/>
          <w:szCs w:val="24"/>
          <w:lang w:val="en-US"/>
        </w:rPr>
      </w:pPr>
      <w:r w:rsidRPr="00207B36">
        <w:rPr>
          <w:rFonts w:ascii="Times New Roman" w:hAnsi="Times New Roman" w:cs="Times New Roman"/>
          <w:b/>
          <w:i/>
          <w:sz w:val="24"/>
          <w:szCs w:val="24"/>
          <w:lang w:val="en-US"/>
        </w:rPr>
        <w:t>Results and conclusions of certain selected Economic Sustainability studies</w:t>
      </w:r>
    </w:p>
    <w:p w:rsidR="003C5E54" w:rsidRPr="00207B36" w:rsidRDefault="008D34A0"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A </w:t>
      </w:r>
      <w:r w:rsidR="003C5E54" w:rsidRPr="00207B36">
        <w:rPr>
          <w:rFonts w:ascii="Times New Roman" w:hAnsi="Times New Roman" w:cs="Times New Roman"/>
          <w:sz w:val="24"/>
          <w:szCs w:val="24"/>
          <w:lang w:val="en-US"/>
        </w:rPr>
        <w:t xml:space="preserve">major push for multifunctional agriculture in Europe is the support for diversified rural employment opportunities. Irish farmers can find many opportunities to diversify within the realm of bioeconomy. 30% farmers in the U.K. and about 59% farmers in Germany are involved in some kind of diversification (Renting et al., 2009). Irish farmers can </w:t>
      </w:r>
      <w:bookmarkStart w:id="9" w:name="_Hlk480149305"/>
      <w:r w:rsidR="003C5E54" w:rsidRPr="00207B36">
        <w:rPr>
          <w:rFonts w:ascii="Times New Roman" w:hAnsi="Times New Roman" w:cs="Times New Roman"/>
          <w:sz w:val="24"/>
          <w:szCs w:val="24"/>
          <w:lang w:val="en-US"/>
        </w:rPr>
        <w:t>(Devaney and Henchion, 2016)</w:t>
      </w:r>
      <w:bookmarkEnd w:id="9"/>
      <w:r w:rsidR="003C5E54" w:rsidRPr="00207B36">
        <w:rPr>
          <w:rFonts w:ascii="Times New Roman" w:hAnsi="Times New Roman" w:cs="Times New Roman"/>
          <w:sz w:val="24"/>
          <w:szCs w:val="24"/>
          <w:lang w:val="en-US"/>
        </w:rPr>
        <w:t>:</w:t>
      </w:r>
    </w:p>
    <w:p w:rsidR="003C5E54" w:rsidRPr="00207B36" w:rsidRDefault="003C5E54" w:rsidP="00207B36">
      <w:pPr>
        <w:numPr>
          <w:ilvl w:val="0"/>
          <w:numId w:val="9"/>
        </w:numPr>
        <w:spacing w:after="0"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use existing or novel transformation technologies to convert agricultural waste and by products to produce biogas. </w:t>
      </w:r>
    </w:p>
    <w:p w:rsidR="003C5E54" w:rsidRPr="00207B36" w:rsidRDefault="003C5E54" w:rsidP="00207B36">
      <w:pPr>
        <w:numPr>
          <w:ilvl w:val="0"/>
          <w:numId w:val="9"/>
        </w:numPr>
        <w:spacing w:after="0"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use existing or novel transformation technologies to convert horticulture waste into bio-compostable packaging</w:t>
      </w:r>
    </w:p>
    <w:p w:rsidR="003C5E54" w:rsidRPr="00207B36" w:rsidRDefault="003C5E54" w:rsidP="00207B36">
      <w:pPr>
        <w:numPr>
          <w:ilvl w:val="0"/>
          <w:numId w:val="9"/>
        </w:numPr>
        <w:spacing w:after="0"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 xml:space="preserve">transform marine waste to high value functional foods. </w:t>
      </w:r>
    </w:p>
    <w:p w:rsidR="003C5E54" w:rsidRPr="00207B36" w:rsidRDefault="003C5E54" w:rsidP="00207B36">
      <w:pPr>
        <w:numPr>
          <w:ilvl w:val="0"/>
          <w:numId w:val="9"/>
        </w:numPr>
        <w:spacing w:after="0"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Transform seaweed for food or cosmetic applications.</w:t>
      </w:r>
    </w:p>
    <w:p w:rsidR="003C5E54" w:rsidRPr="00207B36" w:rsidRDefault="003C5E54" w:rsidP="00207B36">
      <w:pPr>
        <w:spacing w:after="0" w:line="480" w:lineRule="auto"/>
        <w:ind w:left="720"/>
        <w:rPr>
          <w:rFonts w:ascii="Times New Roman" w:hAnsi="Times New Roman" w:cs="Times New Roman"/>
          <w:sz w:val="24"/>
          <w:szCs w:val="24"/>
          <w:lang w:val="en-US"/>
        </w:rPr>
      </w:pPr>
    </w:p>
    <w:p w:rsidR="00DE1FD6" w:rsidRPr="00207B36" w:rsidRDefault="003C5E54" w:rsidP="00207B36">
      <w:pPr>
        <w:spacing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US"/>
        </w:rPr>
        <w:t>These activities increase the income level of the rural population, enhances employment opportunities, and positively influences rural in</w:t>
      </w:r>
      <w:r w:rsidR="002A5D2F" w:rsidRPr="00207B36">
        <w:rPr>
          <w:rFonts w:ascii="Times New Roman" w:hAnsi="Times New Roman" w:cs="Times New Roman"/>
          <w:sz w:val="24"/>
          <w:szCs w:val="24"/>
          <w:lang w:val="en-US"/>
        </w:rPr>
        <w:t xml:space="preserve">frastructure. (Sikorska-Wolak, </w:t>
      </w:r>
      <w:r w:rsidRPr="00207B36">
        <w:rPr>
          <w:rFonts w:ascii="Times New Roman" w:hAnsi="Times New Roman" w:cs="Times New Roman"/>
          <w:sz w:val="24"/>
          <w:szCs w:val="24"/>
          <w:lang w:val="en-US"/>
        </w:rPr>
        <w:t xml:space="preserve">2006). </w:t>
      </w:r>
      <w:r w:rsidR="00C51CA8" w:rsidRPr="00207B36">
        <w:rPr>
          <w:rFonts w:ascii="Times New Roman" w:hAnsi="Times New Roman" w:cs="Times New Roman"/>
          <w:sz w:val="24"/>
          <w:szCs w:val="24"/>
          <w:lang w:val="en-US"/>
        </w:rPr>
        <w:t>Ireland needs to develop the areas of strength in bioenergy with further innovation by engaging stakeholders across the board. Ireland can propel public acceptance and consumer demand by not only technology development, but the state would also need to invest in a holistic programme for market development of bio economy products.</w:t>
      </w:r>
      <w:r w:rsidR="00886C11" w:rsidRPr="00207B36">
        <w:rPr>
          <w:rFonts w:ascii="Times New Roman" w:hAnsi="Times New Roman" w:cs="Times New Roman"/>
          <w:sz w:val="24"/>
          <w:szCs w:val="24"/>
        </w:rPr>
        <w:t xml:space="preserve"> </w:t>
      </w:r>
      <w:r w:rsidR="00886C11" w:rsidRPr="00207B36">
        <w:rPr>
          <w:rFonts w:ascii="Times New Roman" w:hAnsi="Times New Roman" w:cs="Times New Roman"/>
          <w:sz w:val="24"/>
          <w:szCs w:val="24"/>
          <w:lang w:val="en-US"/>
        </w:rPr>
        <w:t>The government would need to play its role in social sustainability of the novel bio-chains.</w:t>
      </w:r>
    </w:p>
    <w:p w:rsidR="0044740F" w:rsidRPr="00207B36" w:rsidRDefault="0044740F" w:rsidP="00207B36">
      <w:pPr>
        <w:spacing w:line="480" w:lineRule="auto"/>
        <w:rPr>
          <w:rFonts w:ascii="Times New Roman" w:hAnsi="Times New Roman" w:cs="Times New Roman"/>
          <w:sz w:val="24"/>
          <w:szCs w:val="24"/>
          <w:lang w:val="en-US"/>
        </w:rPr>
      </w:pPr>
      <w:r w:rsidRPr="00207B36">
        <w:rPr>
          <w:rFonts w:ascii="Times New Roman" w:hAnsi="Times New Roman" w:cs="Times New Roman"/>
          <w:b/>
          <w:sz w:val="24"/>
          <w:szCs w:val="24"/>
        </w:rPr>
        <w:lastRenderedPageBreak/>
        <w:t>Final step for economic, environmental and social criteria</w:t>
      </w:r>
    </w:p>
    <w:p w:rsidR="0044740F" w:rsidRPr="00207B36" w:rsidRDefault="008A58E8" w:rsidP="00207B36">
      <w:pPr>
        <w:spacing w:line="480" w:lineRule="auto"/>
        <w:rPr>
          <w:rFonts w:ascii="Times New Roman" w:hAnsi="Times New Roman" w:cs="Times New Roman"/>
          <w:sz w:val="24"/>
          <w:szCs w:val="24"/>
        </w:rPr>
      </w:pPr>
      <w:r w:rsidRPr="00207B36">
        <w:rPr>
          <w:rFonts w:ascii="Times New Roman" w:hAnsi="Times New Roman" w:cs="Times New Roman"/>
          <w:b/>
          <w:i/>
          <w:sz w:val="24"/>
          <w:szCs w:val="24"/>
        </w:rPr>
        <w:t>Normalization and Weighting</w:t>
      </w:r>
      <w:r w:rsidR="0044740F" w:rsidRPr="00207B36">
        <w:rPr>
          <w:rFonts w:ascii="Times New Roman" w:hAnsi="Times New Roman" w:cs="Times New Roman"/>
          <w:b/>
          <w:i/>
          <w:sz w:val="24"/>
          <w:szCs w:val="24"/>
        </w:rPr>
        <w:t xml:space="preserve"> </w:t>
      </w:r>
      <w:r w:rsidRPr="00207B36">
        <w:rPr>
          <w:rFonts w:ascii="Times New Roman" w:hAnsi="Times New Roman" w:cs="Times New Roman"/>
          <w:sz w:val="24"/>
          <w:szCs w:val="24"/>
        </w:rPr>
        <w:t>(European Commission, 2010)</w:t>
      </w:r>
    </w:p>
    <w:p w:rsidR="0044740F" w:rsidRPr="00207B36" w:rsidRDefault="0044740F" w:rsidP="00207B36">
      <w:pPr>
        <w:spacing w:line="480" w:lineRule="auto"/>
        <w:rPr>
          <w:rFonts w:ascii="Times New Roman" w:hAnsi="Times New Roman" w:cs="Times New Roman"/>
          <w:sz w:val="24"/>
          <w:szCs w:val="24"/>
        </w:rPr>
      </w:pPr>
      <w:r w:rsidRPr="00207B36">
        <w:rPr>
          <w:rFonts w:ascii="Times New Roman" w:hAnsi="Times New Roman" w:cs="Times New Roman"/>
          <w:bCs/>
          <w:sz w:val="24"/>
          <w:szCs w:val="24"/>
        </w:rPr>
        <w:t>Normalisation</w:t>
      </w:r>
      <w:r w:rsidRPr="00207B36">
        <w:rPr>
          <w:rFonts w:ascii="Times New Roman" w:hAnsi="Times New Roman" w:cs="Times New Roman"/>
          <w:sz w:val="24"/>
          <w:szCs w:val="24"/>
        </w:rPr>
        <w:t xml:space="preserve"> is a recommended step, where the impact assessment results are multiplied by normalisation factors (NFs). This is done in order to calculate and compare the magnitude of their contributions to the impact categori</w:t>
      </w:r>
      <w:r w:rsidR="00944173" w:rsidRPr="00207B36">
        <w:rPr>
          <w:rFonts w:ascii="Times New Roman" w:hAnsi="Times New Roman" w:cs="Times New Roman"/>
          <w:sz w:val="24"/>
          <w:szCs w:val="24"/>
        </w:rPr>
        <w:t xml:space="preserve">es relative to a reference unit. </w:t>
      </w:r>
      <w:r w:rsidRPr="00207B36">
        <w:rPr>
          <w:rFonts w:ascii="Times New Roman" w:hAnsi="Times New Roman" w:cs="Times New Roman"/>
          <w:sz w:val="24"/>
          <w:szCs w:val="24"/>
        </w:rPr>
        <w:t>As a result, dimensionless normalised results are obtained. They reflect the burdens attributable to a product relative to the reference unit, such as per capita for a given year and region. This allows the relevance of the contributions, made by individual processes, to be compared to the reference unit of the considered impact categories. For example, impact assessment results may be compared to the same impact assessment results for a given region such as the EU-28 and on a per person basis. In that case they would reflect person-equivalents relative to the emissions associated with the EU-28. Normalised impact assessment results do not, however, indicate the severity or relevance of the respective impacts</w:t>
      </w:r>
      <w:r w:rsidR="008A58E8" w:rsidRPr="00207B36">
        <w:rPr>
          <w:rFonts w:ascii="Times New Roman" w:hAnsi="Times New Roman" w:cs="Times New Roman"/>
          <w:sz w:val="24"/>
          <w:szCs w:val="24"/>
        </w:rPr>
        <w:t xml:space="preserve"> (European Commission, 2010)</w:t>
      </w:r>
      <w:r w:rsidRPr="00207B36">
        <w:rPr>
          <w:rFonts w:ascii="Times New Roman" w:hAnsi="Times New Roman" w:cs="Times New Roman"/>
          <w:sz w:val="24"/>
          <w:szCs w:val="24"/>
        </w:rPr>
        <w:t>.</w:t>
      </w:r>
    </w:p>
    <w:p w:rsidR="0044740F" w:rsidRPr="00207B36" w:rsidRDefault="0044740F" w:rsidP="00207B36">
      <w:pPr>
        <w:spacing w:line="480" w:lineRule="auto"/>
        <w:rPr>
          <w:rFonts w:ascii="Times New Roman" w:hAnsi="Times New Roman" w:cs="Times New Roman"/>
          <w:sz w:val="24"/>
          <w:szCs w:val="24"/>
        </w:rPr>
      </w:pPr>
      <w:r w:rsidRPr="00207B36">
        <w:rPr>
          <w:rFonts w:ascii="Times New Roman" w:hAnsi="Times New Roman" w:cs="Times New Roman"/>
          <w:bCs/>
          <w:sz w:val="24"/>
          <w:szCs w:val="24"/>
        </w:rPr>
        <w:t>Weighting</w:t>
      </w:r>
      <w:r w:rsidRPr="00207B36">
        <w:rPr>
          <w:rFonts w:ascii="Times New Roman" w:hAnsi="Times New Roman" w:cs="Times New Roman"/>
          <w:sz w:val="24"/>
          <w:szCs w:val="24"/>
        </w:rPr>
        <w:t xml:space="preserve"> is a mandatory step for projects with many criteria whose importance/impact potential varies significantly. Weighing supports the interpretation and communication of the results of the analysis. At this step, impact assessment results (normalised results, for example) are multiplied by a set of weighting factors that reflect the perceived relative importance of the considered impact categories. Weighted impact assessment results can then be compared to judge their relative importance. They can also be aggregated across impact categories to obtain several cumulative values or a single overall impact indicator. Weighting requires making value judgements as to the respective importance of the considered impact categories</w:t>
      </w:r>
      <w:r w:rsidR="00944173" w:rsidRPr="00207B36">
        <w:rPr>
          <w:rFonts w:ascii="Times New Roman" w:hAnsi="Times New Roman" w:cs="Times New Roman"/>
          <w:sz w:val="24"/>
          <w:szCs w:val="24"/>
        </w:rPr>
        <w:t xml:space="preserve"> depending on the </w:t>
      </w:r>
      <w:r w:rsidR="008A58E8" w:rsidRPr="00207B36">
        <w:rPr>
          <w:rFonts w:ascii="Times New Roman" w:hAnsi="Times New Roman" w:cs="Times New Roman"/>
          <w:sz w:val="24"/>
          <w:szCs w:val="24"/>
        </w:rPr>
        <w:t>cultural</w:t>
      </w:r>
      <w:r w:rsidRPr="00207B36">
        <w:rPr>
          <w:rFonts w:ascii="Times New Roman" w:hAnsi="Times New Roman" w:cs="Times New Roman"/>
          <w:sz w:val="24"/>
          <w:szCs w:val="24"/>
        </w:rPr>
        <w:t>/ political viewpoints or economic considerations</w:t>
      </w:r>
      <w:r w:rsidR="008A58E8" w:rsidRPr="00207B36">
        <w:rPr>
          <w:rFonts w:ascii="Times New Roman" w:hAnsi="Times New Roman" w:cs="Times New Roman"/>
          <w:sz w:val="24"/>
          <w:szCs w:val="24"/>
        </w:rPr>
        <w:t xml:space="preserve"> (European Commission, 2010)</w:t>
      </w:r>
      <w:r w:rsidRPr="00207B36">
        <w:rPr>
          <w:rFonts w:ascii="Times New Roman" w:hAnsi="Times New Roman" w:cs="Times New Roman"/>
          <w:sz w:val="24"/>
          <w:szCs w:val="24"/>
        </w:rPr>
        <w:t>.</w:t>
      </w:r>
    </w:p>
    <w:p w:rsidR="0044740F" w:rsidRPr="00207B36" w:rsidRDefault="0044740F"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lastRenderedPageBreak/>
        <w:t xml:space="preserve">Not only does the </w:t>
      </w:r>
      <w:r w:rsidR="006C5F65" w:rsidRPr="00207B36">
        <w:rPr>
          <w:rFonts w:ascii="Times New Roman" w:hAnsi="Times New Roman" w:cs="Times New Roman"/>
          <w:sz w:val="24"/>
          <w:szCs w:val="24"/>
        </w:rPr>
        <w:t>weighing</w:t>
      </w:r>
      <w:r w:rsidRPr="00207B36">
        <w:rPr>
          <w:rFonts w:ascii="Times New Roman" w:hAnsi="Times New Roman" w:cs="Times New Roman"/>
          <w:sz w:val="24"/>
          <w:szCs w:val="24"/>
        </w:rPr>
        <w:t xml:space="preserve"> of the economic, environment and social categories vary across geographies and time scale but the relative importance of each parameter also varies si</w:t>
      </w:r>
      <w:r w:rsidR="006C5F65" w:rsidRPr="00207B36">
        <w:rPr>
          <w:rFonts w:ascii="Times New Roman" w:hAnsi="Times New Roman" w:cs="Times New Roman"/>
          <w:sz w:val="24"/>
          <w:szCs w:val="24"/>
        </w:rPr>
        <w:t>gnificantly. The weighting assigned</w:t>
      </w:r>
      <w:r w:rsidRPr="00207B36">
        <w:rPr>
          <w:rFonts w:ascii="Times New Roman" w:hAnsi="Times New Roman" w:cs="Times New Roman"/>
          <w:sz w:val="24"/>
          <w:szCs w:val="24"/>
        </w:rPr>
        <w:t xml:space="preserve"> to a particular parameter depends on the economic, environment and social context of the region in the particular time. </w:t>
      </w:r>
    </w:p>
    <w:p w:rsidR="008312C2" w:rsidRPr="00207B36" w:rsidRDefault="008312C2" w:rsidP="00207B36">
      <w:pPr>
        <w:spacing w:after="200" w:line="480" w:lineRule="auto"/>
        <w:rPr>
          <w:rFonts w:ascii="Times New Roman" w:hAnsi="Times New Roman" w:cs="Times New Roman"/>
          <w:b/>
          <w:i/>
          <w:sz w:val="24"/>
          <w:szCs w:val="24"/>
        </w:rPr>
      </w:pPr>
      <w:r w:rsidRPr="00207B36">
        <w:rPr>
          <w:rFonts w:ascii="Times New Roman" w:hAnsi="Times New Roman" w:cs="Times New Roman"/>
          <w:b/>
          <w:i/>
          <w:sz w:val="24"/>
          <w:szCs w:val="24"/>
        </w:rPr>
        <w:t xml:space="preserve">Table 6: Sample weighing </w:t>
      </w:r>
    </w:p>
    <w:tbl>
      <w:tblPr>
        <w:tblStyle w:val="TableGrid"/>
        <w:tblW w:w="0" w:type="auto"/>
        <w:tblLook w:val="04A0" w:firstRow="1" w:lastRow="0" w:firstColumn="1" w:lastColumn="0" w:noHBand="0" w:noVBand="1"/>
      </w:tblPr>
      <w:tblGrid>
        <w:gridCol w:w="3254"/>
        <w:gridCol w:w="3026"/>
        <w:gridCol w:w="2736"/>
      </w:tblGrid>
      <w:tr w:rsidR="008312C2" w:rsidRPr="00207B36" w:rsidTr="008312C2">
        <w:tc>
          <w:tcPr>
            <w:tcW w:w="3254"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Criteria</w:t>
            </w:r>
          </w:p>
        </w:tc>
        <w:tc>
          <w:tcPr>
            <w:tcW w:w="3026"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Weight</w:t>
            </w:r>
          </w:p>
        </w:tc>
        <w:tc>
          <w:tcPr>
            <w:tcW w:w="2736"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Score</w:t>
            </w:r>
          </w:p>
        </w:tc>
      </w:tr>
      <w:tr w:rsidR="008312C2" w:rsidRPr="00207B36" w:rsidTr="008312C2">
        <w:tc>
          <w:tcPr>
            <w:tcW w:w="3254"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Economic</w:t>
            </w:r>
          </w:p>
        </w:tc>
        <w:tc>
          <w:tcPr>
            <w:tcW w:w="3026"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40</w:t>
            </w:r>
          </w:p>
        </w:tc>
        <w:tc>
          <w:tcPr>
            <w:tcW w:w="2736"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TBD</w:t>
            </w:r>
          </w:p>
        </w:tc>
      </w:tr>
      <w:tr w:rsidR="008312C2" w:rsidRPr="00207B36" w:rsidTr="008312C2">
        <w:tc>
          <w:tcPr>
            <w:tcW w:w="3254"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Environment</w:t>
            </w:r>
          </w:p>
        </w:tc>
        <w:tc>
          <w:tcPr>
            <w:tcW w:w="3026"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40</w:t>
            </w:r>
          </w:p>
        </w:tc>
        <w:tc>
          <w:tcPr>
            <w:tcW w:w="2736"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TBD</w:t>
            </w:r>
          </w:p>
        </w:tc>
      </w:tr>
      <w:tr w:rsidR="008312C2" w:rsidRPr="00207B36" w:rsidTr="008312C2">
        <w:tc>
          <w:tcPr>
            <w:tcW w:w="3254"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 xml:space="preserve">Social </w:t>
            </w:r>
          </w:p>
        </w:tc>
        <w:tc>
          <w:tcPr>
            <w:tcW w:w="3026"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20</w:t>
            </w:r>
          </w:p>
        </w:tc>
        <w:tc>
          <w:tcPr>
            <w:tcW w:w="2736"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TBD</w:t>
            </w:r>
          </w:p>
        </w:tc>
      </w:tr>
      <w:tr w:rsidR="008312C2" w:rsidRPr="00207B36" w:rsidTr="008312C2">
        <w:tc>
          <w:tcPr>
            <w:tcW w:w="3254"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Sustainability Score</w:t>
            </w:r>
          </w:p>
        </w:tc>
        <w:tc>
          <w:tcPr>
            <w:tcW w:w="3026" w:type="dxa"/>
          </w:tcPr>
          <w:p w:rsidR="008312C2"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100</w:t>
            </w:r>
          </w:p>
        </w:tc>
        <w:tc>
          <w:tcPr>
            <w:tcW w:w="2736" w:type="dxa"/>
          </w:tcPr>
          <w:p w:rsidR="008312C2" w:rsidRPr="00207B36" w:rsidRDefault="008312C2" w:rsidP="00207B36">
            <w:pPr>
              <w:spacing w:after="200" w:line="480" w:lineRule="auto"/>
              <w:rPr>
                <w:rFonts w:ascii="Times New Roman" w:hAnsi="Times New Roman" w:cs="Times New Roman"/>
                <w:sz w:val="24"/>
                <w:szCs w:val="24"/>
              </w:rPr>
            </w:pPr>
          </w:p>
        </w:tc>
      </w:tr>
    </w:tbl>
    <w:p w:rsidR="008312C2" w:rsidRPr="00207B36" w:rsidRDefault="008312C2" w:rsidP="00207B36">
      <w:pPr>
        <w:spacing w:after="200" w:line="480" w:lineRule="auto"/>
        <w:rPr>
          <w:rFonts w:ascii="Times New Roman" w:hAnsi="Times New Roman" w:cs="Times New Roman"/>
          <w:sz w:val="24"/>
          <w:szCs w:val="24"/>
        </w:rPr>
      </w:pPr>
    </w:p>
    <w:p w:rsidR="00930B3A" w:rsidRPr="00207B36" w:rsidRDefault="008312C2"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Like table 6, each of the economic, environment and social criteria factors can have different weight assigned to them that aggregate together to form respective scores of individual sections which are finally added together in Table 6 to judge the sustainability of the value chain</w:t>
      </w:r>
      <w:r w:rsidR="00891A1D" w:rsidRPr="00207B36">
        <w:rPr>
          <w:rFonts w:ascii="Times New Roman" w:hAnsi="Times New Roman" w:cs="Times New Roman"/>
          <w:sz w:val="24"/>
          <w:szCs w:val="24"/>
        </w:rPr>
        <w:t xml:space="preserve"> under consideration</w:t>
      </w:r>
      <w:r w:rsidRPr="00207B36">
        <w:rPr>
          <w:rFonts w:ascii="Times New Roman" w:hAnsi="Times New Roman" w:cs="Times New Roman"/>
          <w:sz w:val="24"/>
          <w:szCs w:val="24"/>
        </w:rPr>
        <w:t>.</w:t>
      </w:r>
    </w:p>
    <w:p w:rsidR="00930B3A" w:rsidRPr="00207B36" w:rsidRDefault="00AB5398" w:rsidP="00207B36">
      <w:p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A sensitivity analysis could be undertaken to identify the variables which affect the sus</w:t>
      </w:r>
      <w:r w:rsidR="006D5DBC" w:rsidRPr="00207B36">
        <w:rPr>
          <w:rFonts w:ascii="Times New Roman" w:hAnsi="Times New Roman" w:cs="Times New Roman"/>
          <w:sz w:val="24"/>
          <w:szCs w:val="24"/>
        </w:rPr>
        <w:t>tainability score significantly</w:t>
      </w:r>
      <w:r w:rsidRPr="00207B36">
        <w:rPr>
          <w:rFonts w:ascii="Times New Roman" w:hAnsi="Times New Roman" w:cs="Times New Roman"/>
          <w:sz w:val="24"/>
          <w:szCs w:val="24"/>
        </w:rPr>
        <w:t>. The test could be run with different weights attached to variable to expose inappropriate forecasts and thus guide the decision maker to concentrate on relevant variables (Current author).</w:t>
      </w:r>
    </w:p>
    <w:p w:rsidR="00930B3A" w:rsidRPr="00207B36" w:rsidRDefault="00930B3A" w:rsidP="00207B36">
      <w:pPr>
        <w:spacing w:after="200" w:line="480" w:lineRule="auto"/>
        <w:rPr>
          <w:rFonts w:ascii="Times New Roman" w:hAnsi="Times New Roman" w:cs="Times New Roman"/>
          <w:sz w:val="24"/>
          <w:szCs w:val="24"/>
        </w:rPr>
      </w:pPr>
    </w:p>
    <w:p w:rsidR="00207B36" w:rsidRDefault="00207B36" w:rsidP="00207B36">
      <w:pPr>
        <w:spacing w:line="480" w:lineRule="auto"/>
        <w:rPr>
          <w:rFonts w:ascii="Times New Roman" w:hAnsi="Times New Roman" w:cs="Times New Roman"/>
          <w:sz w:val="24"/>
          <w:szCs w:val="24"/>
        </w:rPr>
      </w:pPr>
    </w:p>
    <w:p w:rsidR="00930B3A" w:rsidRPr="00207B36" w:rsidRDefault="00930B3A" w:rsidP="00207B36">
      <w:pPr>
        <w:spacing w:line="480" w:lineRule="auto"/>
        <w:rPr>
          <w:rFonts w:ascii="Times New Roman" w:hAnsi="Times New Roman" w:cs="Times New Roman"/>
          <w:b/>
          <w:sz w:val="24"/>
          <w:szCs w:val="24"/>
        </w:rPr>
      </w:pPr>
      <w:r w:rsidRPr="00207B36">
        <w:rPr>
          <w:rFonts w:ascii="Times New Roman" w:hAnsi="Times New Roman" w:cs="Times New Roman"/>
          <w:b/>
          <w:sz w:val="24"/>
          <w:szCs w:val="24"/>
        </w:rPr>
        <w:lastRenderedPageBreak/>
        <w:t>Conclusion</w:t>
      </w:r>
    </w:p>
    <w:p w:rsidR="00E26550" w:rsidRPr="00207B36" w:rsidRDefault="00421D61" w:rsidP="00207B36">
      <w:pPr>
        <w:spacing w:line="480" w:lineRule="auto"/>
        <w:rPr>
          <w:rFonts w:ascii="Times New Roman" w:hAnsi="Times New Roman" w:cs="Times New Roman"/>
          <w:b/>
          <w:i/>
          <w:sz w:val="24"/>
          <w:szCs w:val="24"/>
        </w:rPr>
      </w:pPr>
      <w:r w:rsidRPr="00207B36">
        <w:rPr>
          <w:rFonts w:ascii="Times New Roman" w:hAnsi="Times New Roman" w:cs="Times New Roman"/>
          <w:b/>
          <w:i/>
          <w:sz w:val="24"/>
          <w:szCs w:val="24"/>
        </w:rPr>
        <w:t>Scientific review to develop the economic, environmental and social research criteria and methodology to subsequently evaluate the sustainability of different biochains in the Irish bioceconomy</w:t>
      </w:r>
    </w:p>
    <w:p w:rsidR="008F44CA" w:rsidRPr="00207B36" w:rsidRDefault="008F44CA"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This study has developed novel criteria and methodology to judge the economic, environment and social sustainability of bioeconomy value chains. However, the study realises that </w:t>
      </w:r>
      <w:r w:rsidR="00930B3A" w:rsidRPr="00207B36">
        <w:rPr>
          <w:rFonts w:ascii="Times New Roman" w:hAnsi="Times New Roman" w:cs="Times New Roman"/>
          <w:sz w:val="24"/>
          <w:szCs w:val="24"/>
        </w:rPr>
        <w:t>to develop any model, the first step is defining what is considered “sustainable” in the context of a specific project in its geographical and societal setting.</w:t>
      </w:r>
      <w:r w:rsidRPr="00207B36">
        <w:rPr>
          <w:rFonts w:ascii="Times New Roman" w:hAnsi="Times New Roman" w:cs="Times New Roman"/>
          <w:sz w:val="24"/>
          <w:szCs w:val="24"/>
        </w:rPr>
        <w:t xml:space="preserve"> Hence, to provide a universal application, this methodology allows to introduce new criteria easily and change relative weights of different criteria according to the geographic and timely needs of different projects. </w:t>
      </w:r>
      <w:r w:rsidR="009506E6" w:rsidRPr="00207B36">
        <w:rPr>
          <w:rFonts w:ascii="Times New Roman" w:hAnsi="Times New Roman" w:cs="Times New Roman"/>
          <w:sz w:val="24"/>
          <w:szCs w:val="24"/>
        </w:rPr>
        <w:t xml:space="preserve">The study falls </w:t>
      </w:r>
      <w:r w:rsidR="008739BE" w:rsidRPr="00207B36">
        <w:rPr>
          <w:rFonts w:ascii="Times New Roman" w:hAnsi="Times New Roman" w:cs="Times New Roman"/>
          <w:sz w:val="24"/>
          <w:szCs w:val="24"/>
        </w:rPr>
        <w:t xml:space="preserve">short of itself translating the methodology </w:t>
      </w:r>
      <w:r w:rsidR="006336DE" w:rsidRPr="00207B36">
        <w:rPr>
          <w:rFonts w:ascii="Times New Roman" w:hAnsi="Times New Roman" w:cs="Times New Roman"/>
          <w:sz w:val="24"/>
          <w:szCs w:val="24"/>
        </w:rPr>
        <w:t>into a computer application wh</w:t>
      </w:r>
      <w:r w:rsidR="00320376" w:rsidRPr="00207B36">
        <w:rPr>
          <w:rFonts w:ascii="Times New Roman" w:hAnsi="Times New Roman" w:cs="Times New Roman"/>
          <w:sz w:val="24"/>
          <w:szCs w:val="24"/>
        </w:rPr>
        <w:t>ere the users just need to input</w:t>
      </w:r>
      <w:r w:rsidR="006336DE" w:rsidRPr="00207B36">
        <w:rPr>
          <w:rFonts w:ascii="Times New Roman" w:hAnsi="Times New Roman" w:cs="Times New Roman"/>
          <w:sz w:val="24"/>
          <w:szCs w:val="24"/>
        </w:rPr>
        <w:t xml:space="preserve"> relative weights and numbers </w:t>
      </w:r>
      <w:r w:rsidR="00320376" w:rsidRPr="00207B36">
        <w:rPr>
          <w:rFonts w:ascii="Times New Roman" w:hAnsi="Times New Roman" w:cs="Times New Roman"/>
          <w:sz w:val="24"/>
          <w:szCs w:val="24"/>
        </w:rPr>
        <w:t xml:space="preserve">values </w:t>
      </w:r>
      <w:r w:rsidR="006336DE" w:rsidRPr="00207B36">
        <w:rPr>
          <w:rFonts w:ascii="Times New Roman" w:hAnsi="Times New Roman" w:cs="Times New Roman"/>
          <w:sz w:val="24"/>
          <w:szCs w:val="24"/>
        </w:rPr>
        <w:t xml:space="preserve">and </w:t>
      </w:r>
      <w:r w:rsidR="00320376" w:rsidRPr="00207B36">
        <w:rPr>
          <w:rFonts w:ascii="Times New Roman" w:hAnsi="Times New Roman" w:cs="Times New Roman"/>
          <w:sz w:val="24"/>
          <w:szCs w:val="24"/>
        </w:rPr>
        <w:t xml:space="preserve">they are immediately </w:t>
      </w:r>
      <w:r w:rsidR="006336DE" w:rsidRPr="00207B36">
        <w:rPr>
          <w:rFonts w:ascii="Times New Roman" w:hAnsi="Times New Roman" w:cs="Times New Roman"/>
          <w:sz w:val="24"/>
          <w:szCs w:val="24"/>
        </w:rPr>
        <w:t xml:space="preserve">presented with a sustainability </w:t>
      </w:r>
      <w:r w:rsidR="00320376" w:rsidRPr="00207B36">
        <w:rPr>
          <w:rFonts w:ascii="Times New Roman" w:hAnsi="Times New Roman" w:cs="Times New Roman"/>
          <w:sz w:val="24"/>
          <w:szCs w:val="24"/>
        </w:rPr>
        <w:t xml:space="preserve">and sensitivity </w:t>
      </w:r>
      <w:r w:rsidR="008822CA" w:rsidRPr="00207B36">
        <w:rPr>
          <w:rFonts w:ascii="Times New Roman" w:hAnsi="Times New Roman" w:cs="Times New Roman"/>
          <w:sz w:val="24"/>
          <w:szCs w:val="24"/>
        </w:rPr>
        <w:t xml:space="preserve">analysis </w:t>
      </w:r>
      <w:r w:rsidR="006336DE" w:rsidRPr="00207B36">
        <w:rPr>
          <w:rFonts w:ascii="Times New Roman" w:hAnsi="Times New Roman" w:cs="Times New Roman"/>
          <w:sz w:val="24"/>
          <w:szCs w:val="24"/>
        </w:rPr>
        <w:t>score</w:t>
      </w:r>
      <w:r w:rsidR="00320376" w:rsidRPr="00207B36">
        <w:rPr>
          <w:rFonts w:ascii="Times New Roman" w:hAnsi="Times New Roman" w:cs="Times New Roman"/>
          <w:sz w:val="24"/>
          <w:szCs w:val="24"/>
        </w:rPr>
        <w:t>s</w:t>
      </w:r>
      <w:r w:rsidR="006336DE" w:rsidRPr="00207B36">
        <w:rPr>
          <w:rFonts w:ascii="Times New Roman" w:hAnsi="Times New Roman" w:cs="Times New Roman"/>
          <w:sz w:val="24"/>
          <w:szCs w:val="24"/>
        </w:rPr>
        <w:t xml:space="preserve">. </w:t>
      </w:r>
    </w:p>
    <w:p w:rsidR="005E3533" w:rsidRPr="00207B36" w:rsidRDefault="00930B3A"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There are manifold trade-offs between sus</w:t>
      </w:r>
      <w:r w:rsidRPr="00207B36">
        <w:rPr>
          <w:rFonts w:ascii="Times New Roman" w:hAnsi="Times New Roman" w:cs="Times New Roman"/>
          <w:sz w:val="24"/>
          <w:szCs w:val="24"/>
        </w:rPr>
        <w:softHyphen/>
        <w:t>tainability goals and conflicting stakeholder perceptions of sus</w:t>
      </w:r>
      <w:r w:rsidRPr="00207B36">
        <w:rPr>
          <w:rFonts w:ascii="Times New Roman" w:hAnsi="Times New Roman" w:cs="Times New Roman"/>
          <w:sz w:val="24"/>
          <w:szCs w:val="24"/>
        </w:rPr>
        <w:softHyphen/>
        <w:t xml:space="preserve">tainability. Consequently, the simultaneous </w:t>
      </w:r>
      <w:r w:rsidR="00611127" w:rsidRPr="00207B36">
        <w:rPr>
          <w:rFonts w:ascii="Times New Roman" w:hAnsi="Times New Roman" w:cs="Times New Roman"/>
          <w:sz w:val="24"/>
          <w:szCs w:val="24"/>
        </w:rPr>
        <w:t>fulfilment</w:t>
      </w:r>
      <w:r w:rsidRPr="00207B36">
        <w:rPr>
          <w:rFonts w:ascii="Times New Roman" w:hAnsi="Times New Roman" w:cs="Times New Roman"/>
          <w:sz w:val="24"/>
          <w:szCs w:val="24"/>
        </w:rPr>
        <w:t xml:space="preserve"> of all sustainability criteria becomes n</w:t>
      </w:r>
      <w:r w:rsidR="004374D6" w:rsidRPr="00207B36">
        <w:rPr>
          <w:rFonts w:ascii="Times New Roman" w:hAnsi="Times New Roman" w:cs="Times New Roman"/>
          <w:sz w:val="24"/>
          <w:szCs w:val="24"/>
        </w:rPr>
        <w:t>ext to impossible (Lewandowskie</w:t>
      </w:r>
      <w:r w:rsidRPr="00207B36">
        <w:rPr>
          <w:rFonts w:ascii="Times New Roman" w:hAnsi="Times New Roman" w:cs="Times New Roman"/>
          <w:sz w:val="24"/>
          <w:szCs w:val="24"/>
        </w:rPr>
        <w:t xml:space="preserve">, 2015). Therefore, highest weighed average value chain should be prioritized for implementation. </w:t>
      </w:r>
    </w:p>
    <w:p w:rsidR="00421D61" w:rsidRPr="00207B36" w:rsidRDefault="00421D61" w:rsidP="00207B36">
      <w:pPr>
        <w:spacing w:line="480" w:lineRule="auto"/>
        <w:rPr>
          <w:rFonts w:ascii="Times New Roman" w:hAnsi="Times New Roman" w:cs="Times New Roman"/>
          <w:b/>
          <w:i/>
          <w:sz w:val="24"/>
          <w:szCs w:val="24"/>
        </w:rPr>
      </w:pPr>
      <w:r w:rsidRPr="00207B36">
        <w:rPr>
          <w:rFonts w:ascii="Times New Roman" w:hAnsi="Times New Roman" w:cs="Times New Roman"/>
          <w:b/>
          <w:i/>
          <w:sz w:val="24"/>
          <w:szCs w:val="24"/>
        </w:rPr>
        <w:t>Provide a new template of a detailed methodology to subsequently conduct sustainability assessment and determine the most optimal biochain for other countries as well</w:t>
      </w:r>
    </w:p>
    <w:p w:rsidR="00D7507D" w:rsidRPr="00207B36" w:rsidRDefault="00930B3A" w:rsidP="00207B36">
      <w:pPr>
        <w:spacing w:line="480" w:lineRule="auto"/>
        <w:rPr>
          <w:rFonts w:ascii="Times New Roman" w:hAnsi="Times New Roman" w:cs="Times New Roman"/>
          <w:sz w:val="24"/>
          <w:szCs w:val="24"/>
        </w:rPr>
      </w:pPr>
      <w:r w:rsidRPr="00207B36">
        <w:rPr>
          <w:rFonts w:ascii="Times New Roman" w:hAnsi="Times New Roman" w:cs="Times New Roman"/>
          <w:sz w:val="24"/>
          <w:szCs w:val="24"/>
        </w:rPr>
        <w:t>Techniques that support value-chain optimization include life-cycle assessment (LCA)</w:t>
      </w:r>
      <w:r w:rsidR="004374D6" w:rsidRPr="00207B36">
        <w:rPr>
          <w:rFonts w:ascii="Times New Roman" w:hAnsi="Times New Roman" w:cs="Times New Roman"/>
          <w:sz w:val="24"/>
          <w:szCs w:val="24"/>
        </w:rPr>
        <w:t>, such as the PEF-LCA suggested in this study</w:t>
      </w:r>
      <w:r w:rsidRPr="00207B36">
        <w:rPr>
          <w:rFonts w:ascii="Times New Roman" w:hAnsi="Times New Roman" w:cs="Times New Roman"/>
          <w:sz w:val="24"/>
          <w:szCs w:val="24"/>
        </w:rPr>
        <w:t xml:space="preserve">. </w:t>
      </w:r>
      <w:r w:rsidR="00E26550" w:rsidRPr="00207B36">
        <w:rPr>
          <w:rFonts w:ascii="Times New Roman" w:hAnsi="Times New Roman" w:cs="Times New Roman"/>
          <w:sz w:val="24"/>
          <w:szCs w:val="24"/>
        </w:rPr>
        <w:t xml:space="preserve">The strength of this approach is that it accommodates for various biochains across different geographies of the world. New economic, environmental or social factors can be introduced when required and the PEF-LCA approach provides an easy way to calculate sustainability. </w:t>
      </w:r>
      <w:r w:rsidRPr="00207B36">
        <w:rPr>
          <w:rFonts w:ascii="Times New Roman" w:hAnsi="Times New Roman" w:cs="Times New Roman"/>
          <w:sz w:val="24"/>
          <w:szCs w:val="24"/>
        </w:rPr>
        <w:t xml:space="preserve">However, </w:t>
      </w:r>
      <w:r w:rsidR="007574D0" w:rsidRPr="00207B36">
        <w:rPr>
          <w:rFonts w:ascii="Times New Roman" w:hAnsi="Times New Roman" w:cs="Times New Roman"/>
          <w:sz w:val="24"/>
          <w:szCs w:val="24"/>
        </w:rPr>
        <w:t xml:space="preserve">any </w:t>
      </w:r>
      <w:r w:rsidRPr="00207B36">
        <w:rPr>
          <w:rFonts w:ascii="Times New Roman" w:hAnsi="Times New Roman" w:cs="Times New Roman"/>
          <w:sz w:val="24"/>
          <w:szCs w:val="24"/>
        </w:rPr>
        <w:t xml:space="preserve">LCA </w:t>
      </w:r>
      <w:r w:rsidR="007574D0" w:rsidRPr="00207B36">
        <w:rPr>
          <w:rFonts w:ascii="Times New Roman" w:hAnsi="Times New Roman" w:cs="Times New Roman"/>
          <w:sz w:val="24"/>
          <w:szCs w:val="24"/>
        </w:rPr>
        <w:lastRenderedPageBreak/>
        <w:t xml:space="preserve">methodology would </w:t>
      </w:r>
      <w:r w:rsidR="00227020" w:rsidRPr="00207B36">
        <w:rPr>
          <w:rFonts w:ascii="Times New Roman" w:hAnsi="Times New Roman" w:cs="Times New Roman"/>
          <w:sz w:val="24"/>
          <w:szCs w:val="24"/>
        </w:rPr>
        <w:t>only depict</w:t>
      </w:r>
      <w:r w:rsidRPr="00207B36">
        <w:rPr>
          <w:rFonts w:ascii="Times New Roman" w:hAnsi="Times New Roman" w:cs="Times New Roman"/>
          <w:sz w:val="24"/>
          <w:szCs w:val="24"/>
        </w:rPr>
        <w:t xml:space="preserve"> material and energy flows along the value chain. The Biomass Value Chain Model (BVCM) a spatial – temporal model was recently developed for the UK to provide a more holistic assessment of economic and environmental performance of complete bioenergy value chains by taking resource availability and demand into account, thus helping to decide where and when to invest in conversion technologies (Samsatli et al., 2015). This model could represent a first step to</w:t>
      </w:r>
      <w:r w:rsidRPr="00207B36">
        <w:rPr>
          <w:rFonts w:ascii="Times New Roman" w:hAnsi="Times New Roman" w:cs="Times New Roman"/>
          <w:sz w:val="24"/>
          <w:szCs w:val="24"/>
        </w:rPr>
        <w:softHyphen/>
        <w:t xml:space="preserve">wards the higher level of integration which aims at assessing the combined effects of introducing bio-based value chains on the bioeconomic system as a whole (Lewandowskie., 2015). </w:t>
      </w:r>
      <w:r w:rsidR="00320376" w:rsidRPr="00207B36">
        <w:rPr>
          <w:rFonts w:ascii="Times New Roman" w:hAnsi="Times New Roman" w:cs="Times New Roman"/>
          <w:sz w:val="24"/>
          <w:szCs w:val="24"/>
        </w:rPr>
        <w:t xml:space="preserve">Considering </w:t>
      </w:r>
      <w:r w:rsidR="00227020" w:rsidRPr="00207B36">
        <w:rPr>
          <w:rFonts w:ascii="Times New Roman" w:hAnsi="Times New Roman" w:cs="Times New Roman"/>
          <w:sz w:val="24"/>
          <w:szCs w:val="24"/>
        </w:rPr>
        <w:t xml:space="preserve">the limited time run of this study, it was not possible to incorporate the features of BVCM in this study. </w:t>
      </w:r>
      <w:r w:rsidR="00AF6D3C" w:rsidRPr="00207B36">
        <w:rPr>
          <w:rFonts w:ascii="Times New Roman" w:hAnsi="Times New Roman" w:cs="Times New Roman"/>
          <w:sz w:val="24"/>
          <w:szCs w:val="24"/>
        </w:rPr>
        <w:t>However</w:t>
      </w:r>
      <w:r w:rsidRPr="00207B36">
        <w:rPr>
          <w:rFonts w:ascii="Times New Roman" w:hAnsi="Times New Roman" w:cs="Times New Roman"/>
          <w:sz w:val="24"/>
          <w:szCs w:val="24"/>
        </w:rPr>
        <w:t>, there is no globally accepted model of bioeconomy value chain evaluation. Further, the bioeconomy sector is so dynamic that most assessment models keep on evolving with time. The best approach to develop a sustainability model is to utilize a regionally accepted assessment model and cater it to the needs of the geography and society where the project is to be conducted.</w:t>
      </w:r>
    </w:p>
    <w:p w:rsidR="00E0145C" w:rsidRPr="00207B36" w:rsidRDefault="00E26550" w:rsidP="00207B36">
      <w:pPr>
        <w:spacing w:line="480" w:lineRule="auto"/>
        <w:rPr>
          <w:rFonts w:ascii="Times New Roman" w:hAnsi="Times New Roman" w:cs="Times New Roman"/>
          <w:b/>
          <w:i/>
          <w:sz w:val="24"/>
          <w:szCs w:val="24"/>
        </w:rPr>
      </w:pPr>
      <w:r w:rsidRPr="00207B36">
        <w:rPr>
          <w:rFonts w:ascii="Times New Roman" w:hAnsi="Times New Roman" w:cs="Times New Roman"/>
          <w:b/>
          <w:i/>
          <w:sz w:val="24"/>
          <w:szCs w:val="24"/>
        </w:rPr>
        <w:t>Suggestion for future studies</w:t>
      </w:r>
      <w:r w:rsidR="00326769" w:rsidRPr="00207B36">
        <w:rPr>
          <w:rFonts w:ascii="Times New Roman" w:hAnsi="Times New Roman" w:cs="Times New Roman"/>
          <w:b/>
          <w:i/>
          <w:sz w:val="24"/>
          <w:szCs w:val="24"/>
        </w:rPr>
        <w:t>:</w:t>
      </w:r>
    </w:p>
    <w:p w:rsidR="00E0145C" w:rsidRPr="00207B36" w:rsidRDefault="00E0145C" w:rsidP="00207B36">
      <w:pPr>
        <w:pStyle w:val="ListParagraph"/>
        <w:numPr>
          <w:ilvl w:val="0"/>
          <w:numId w:val="13"/>
        </w:num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Jordan et al., (2007) recommends the use of demonstration projects that do not require large scale to extract the most optimal value from a value chain. The new bioeconomy research projects across the globe almost always develop demonstration pilot projects first to implement the same technology on a larger scale subsequently. Therefore, it is recommended to pilot the methodology developed in this study on a couple of biochains developed in Ireland (For example by Devaney and Henchion, 2016) and adjust the criteria accordingly. </w:t>
      </w:r>
    </w:p>
    <w:p w:rsidR="00E0145C" w:rsidRPr="00207B36" w:rsidRDefault="00E0145C" w:rsidP="00207B36">
      <w:pPr>
        <w:pStyle w:val="ListParagraph"/>
        <w:numPr>
          <w:ilvl w:val="0"/>
          <w:numId w:val="13"/>
        </w:numPr>
        <w:spacing w:line="480" w:lineRule="auto"/>
        <w:rPr>
          <w:rFonts w:ascii="Times New Roman" w:hAnsi="Times New Roman" w:cs="Times New Roman"/>
          <w:sz w:val="24"/>
          <w:szCs w:val="24"/>
        </w:rPr>
      </w:pPr>
      <w:r w:rsidRPr="00207B36">
        <w:rPr>
          <w:rFonts w:ascii="Times New Roman" w:hAnsi="Times New Roman" w:cs="Times New Roman"/>
          <w:sz w:val="24"/>
          <w:szCs w:val="24"/>
        </w:rPr>
        <w:t xml:space="preserve">How do the weights of criteria change with a particular emphasis on social sustainability, when the same methodology developed in this study is run for relatively poor African and Asian </w:t>
      </w:r>
      <w:r w:rsidR="0080522A" w:rsidRPr="00207B36">
        <w:rPr>
          <w:rFonts w:ascii="Times New Roman" w:hAnsi="Times New Roman" w:cs="Times New Roman"/>
          <w:sz w:val="24"/>
          <w:szCs w:val="24"/>
        </w:rPr>
        <w:t>countries?</w:t>
      </w:r>
      <w:r w:rsidRPr="00207B36">
        <w:rPr>
          <w:rFonts w:ascii="Times New Roman" w:hAnsi="Times New Roman" w:cs="Times New Roman"/>
          <w:sz w:val="24"/>
          <w:szCs w:val="24"/>
        </w:rPr>
        <w:t xml:space="preserve">   </w:t>
      </w:r>
    </w:p>
    <w:p w:rsidR="00EA21C2" w:rsidRPr="00207B36" w:rsidRDefault="00E0145C" w:rsidP="00207B36">
      <w:pPr>
        <w:pStyle w:val="ListParagraph"/>
        <w:numPr>
          <w:ilvl w:val="0"/>
          <w:numId w:val="13"/>
        </w:numPr>
        <w:spacing w:line="480" w:lineRule="auto"/>
        <w:rPr>
          <w:rFonts w:ascii="Times New Roman" w:hAnsi="Times New Roman" w:cs="Times New Roman"/>
          <w:sz w:val="24"/>
          <w:szCs w:val="24"/>
        </w:rPr>
      </w:pPr>
      <w:r w:rsidRPr="00207B36">
        <w:rPr>
          <w:rFonts w:ascii="Times New Roman" w:hAnsi="Times New Roman" w:cs="Times New Roman"/>
          <w:sz w:val="24"/>
          <w:szCs w:val="24"/>
        </w:rPr>
        <w:lastRenderedPageBreak/>
        <w:t>What is public perception/”willingness</w:t>
      </w:r>
      <w:r w:rsidR="00EA21C2" w:rsidRPr="00207B36">
        <w:rPr>
          <w:rFonts w:ascii="Times New Roman" w:hAnsi="Times New Roman" w:cs="Times New Roman"/>
          <w:sz w:val="24"/>
          <w:szCs w:val="24"/>
        </w:rPr>
        <w:t xml:space="preserve"> to pay” for bioeconomy products</w:t>
      </w:r>
      <w:r w:rsidR="00AF2FC7" w:rsidRPr="00207B36">
        <w:rPr>
          <w:rFonts w:ascii="Times New Roman" w:hAnsi="Times New Roman" w:cs="Times New Roman"/>
          <w:sz w:val="24"/>
          <w:szCs w:val="24"/>
        </w:rPr>
        <w:t>?</w:t>
      </w:r>
      <w:r w:rsidRPr="00207B36">
        <w:rPr>
          <w:rFonts w:ascii="Times New Roman" w:hAnsi="Times New Roman" w:cs="Times New Roman"/>
          <w:sz w:val="24"/>
          <w:szCs w:val="24"/>
        </w:rPr>
        <w:t xml:space="preserve"> What products </w:t>
      </w:r>
      <w:r w:rsidR="00EA21C2" w:rsidRPr="00207B36">
        <w:rPr>
          <w:rFonts w:ascii="Times New Roman" w:hAnsi="Times New Roman" w:cs="Times New Roman"/>
          <w:sz w:val="24"/>
          <w:szCs w:val="24"/>
        </w:rPr>
        <w:t xml:space="preserve">would </w:t>
      </w:r>
      <w:r w:rsidRPr="00207B36">
        <w:rPr>
          <w:rFonts w:ascii="Times New Roman" w:hAnsi="Times New Roman" w:cs="Times New Roman"/>
          <w:sz w:val="24"/>
          <w:szCs w:val="24"/>
        </w:rPr>
        <w:t xml:space="preserve">domestic and global consumers </w:t>
      </w:r>
      <w:r w:rsidR="00EA21C2" w:rsidRPr="00207B36">
        <w:rPr>
          <w:rFonts w:ascii="Times New Roman" w:hAnsi="Times New Roman" w:cs="Times New Roman"/>
          <w:sz w:val="24"/>
          <w:szCs w:val="24"/>
        </w:rPr>
        <w:t>mo</w:t>
      </w:r>
      <w:r w:rsidR="0046471D" w:rsidRPr="00207B36">
        <w:rPr>
          <w:rFonts w:ascii="Times New Roman" w:hAnsi="Times New Roman" w:cs="Times New Roman"/>
          <w:sz w:val="24"/>
          <w:szCs w:val="24"/>
        </w:rPr>
        <w:t xml:space="preserve">st likely buy out </w:t>
      </w:r>
      <w:r w:rsidRPr="00207B36">
        <w:rPr>
          <w:rFonts w:ascii="Times New Roman" w:hAnsi="Times New Roman" w:cs="Times New Roman"/>
          <w:sz w:val="24"/>
          <w:szCs w:val="24"/>
        </w:rPr>
        <w:t xml:space="preserve">the value chains developed by </w:t>
      </w:r>
      <w:r w:rsidR="00EA21C2" w:rsidRPr="00207B36">
        <w:rPr>
          <w:rFonts w:ascii="Times New Roman" w:hAnsi="Times New Roman" w:cs="Times New Roman"/>
          <w:sz w:val="24"/>
          <w:szCs w:val="24"/>
        </w:rPr>
        <w:t>D</w:t>
      </w:r>
      <w:r w:rsidR="0046471D" w:rsidRPr="00207B36">
        <w:rPr>
          <w:rFonts w:ascii="Times New Roman" w:hAnsi="Times New Roman" w:cs="Times New Roman"/>
          <w:sz w:val="24"/>
          <w:szCs w:val="24"/>
        </w:rPr>
        <w:t>evaney and Henchion (</w:t>
      </w:r>
      <w:r w:rsidR="00EA21C2" w:rsidRPr="00207B36">
        <w:rPr>
          <w:rFonts w:ascii="Times New Roman" w:hAnsi="Times New Roman" w:cs="Times New Roman"/>
          <w:sz w:val="24"/>
          <w:szCs w:val="24"/>
        </w:rPr>
        <w:t>2016</w:t>
      </w:r>
      <w:r w:rsidR="0046471D" w:rsidRPr="00207B36">
        <w:rPr>
          <w:rFonts w:ascii="Times New Roman" w:hAnsi="Times New Roman" w:cs="Times New Roman"/>
          <w:sz w:val="24"/>
          <w:szCs w:val="24"/>
        </w:rPr>
        <w:t>)</w:t>
      </w:r>
      <w:r w:rsidRPr="00207B36">
        <w:rPr>
          <w:rFonts w:ascii="Times New Roman" w:hAnsi="Times New Roman" w:cs="Times New Roman"/>
          <w:sz w:val="24"/>
          <w:szCs w:val="24"/>
        </w:rPr>
        <w:t xml:space="preserve"> considering</w:t>
      </w:r>
      <w:r w:rsidR="00EA21C2" w:rsidRPr="00207B36">
        <w:rPr>
          <w:rFonts w:ascii="Times New Roman" w:hAnsi="Times New Roman" w:cs="Times New Roman"/>
          <w:sz w:val="24"/>
          <w:szCs w:val="24"/>
        </w:rPr>
        <w:t xml:space="preserve"> the value chains developed there are most relevant to Ireland.</w:t>
      </w:r>
    </w:p>
    <w:p w:rsidR="00930B3A" w:rsidRPr="00207B36" w:rsidRDefault="00341A96" w:rsidP="00207B36">
      <w:pPr>
        <w:pStyle w:val="ListParagraph"/>
        <w:numPr>
          <w:ilvl w:val="0"/>
          <w:numId w:val="13"/>
        </w:numPr>
        <w:spacing w:after="200" w:line="480" w:lineRule="auto"/>
        <w:rPr>
          <w:rFonts w:ascii="Times New Roman" w:hAnsi="Times New Roman" w:cs="Times New Roman"/>
          <w:sz w:val="24"/>
          <w:szCs w:val="24"/>
        </w:rPr>
      </w:pPr>
      <w:r w:rsidRPr="00207B36">
        <w:rPr>
          <w:rFonts w:ascii="Times New Roman" w:hAnsi="Times New Roman" w:cs="Times New Roman"/>
          <w:sz w:val="24"/>
          <w:szCs w:val="24"/>
        </w:rPr>
        <w:t xml:space="preserve">What public investments need to be made in the coming decades to prepare the bio-economy of tomorrow? What </w:t>
      </w:r>
      <w:r w:rsidR="00E0145C" w:rsidRPr="00207B36">
        <w:rPr>
          <w:rFonts w:ascii="Times New Roman" w:hAnsi="Times New Roman" w:cs="Times New Roman"/>
          <w:sz w:val="24"/>
          <w:szCs w:val="24"/>
        </w:rPr>
        <w:t xml:space="preserve">legal </w:t>
      </w:r>
      <w:r w:rsidRPr="00207B36">
        <w:rPr>
          <w:rFonts w:ascii="Times New Roman" w:hAnsi="Times New Roman" w:cs="Times New Roman"/>
          <w:sz w:val="24"/>
          <w:szCs w:val="24"/>
        </w:rPr>
        <w:t>regulatory issues ne</w:t>
      </w:r>
      <w:r w:rsidR="00E0145C" w:rsidRPr="00207B36">
        <w:rPr>
          <w:rFonts w:ascii="Times New Roman" w:hAnsi="Times New Roman" w:cs="Times New Roman"/>
          <w:sz w:val="24"/>
          <w:szCs w:val="24"/>
        </w:rPr>
        <w:t>ed to be addressed to commercialise the new innovative products</w:t>
      </w:r>
      <w:r w:rsidR="001D0E74" w:rsidRPr="00207B36">
        <w:rPr>
          <w:rFonts w:ascii="Times New Roman" w:hAnsi="Times New Roman" w:cs="Times New Roman"/>
          <w:sz w:val="24"/>
          <w:szCs w:val="24"/>
        </w:rPr>
        <w:t xml:space="preserve"> in Ireland</w:t>
      </w:r>
      <w:r w:rsidRPr="00207B36">
        <w:rPr>
          <w:rFonts w:ascii="Times New Roman" w:hAnsi="Times New Roman" w:cs="Times New Roman"/>
          <w:sz w:val="24"/>
          <w:szCs w:val="24"/>
        </w:rPr>
        <w:t xml:space="preserve">? </w:t>
      </w:r>
    </w:p>
    <w:p w:rsidR="00930B3A" w:rsidRPr="00207B36" w:rsidRDefault="00930B3A" w:rsidP="00207B36">
      <w:pPr>
        <w:spacing w:after="200" w:line="480" w:lineRule="auto"/>
        <w:rPr>
          <w:rFonts w:ascii="Times New Roman" w:hAnsi="Times New Roman" w:cs="Times New Roman"/>
          <w:sz w:val="24"/>
          <w:szCs w:val="24"/>
        </w:rPr>
      </w:pPr>
    </w:p>
    <w:p w:rsidR="0044740F" w:rsidRPr="00207B36" w:rsidRDefault="0044740F" w:rsidP="00207B36">
      <w:pPr>
        <w:spacing w:line="480" w:lineRule="auto"/>
        <w:rPr>
          <w:rFonts w:ascii="Times New Roman" w:hAnsi="Times New Roman" w:cs="Times New Roman"/>
          <w:sz w:val="24"/>
          <w:szCs w:val="24"/>
          <w:lang w:val="en-US"/>
        </w:rPr>
      </w:pPr>
    </w:p>
    <w:p w:rsidR="005036C1" w:rsidRPr="00207B36" w:rsidRDefault="005036C1" w:rsidP="00207B36">
      <w:pPr>
        <w:spacing w:line="480" w:lineRule="auto"/>
        <w:rPr>
          <w:rFonts w:ascii="Times New Roman" w:hAnsi="Times New Roman" w:cs="Times New Roman"/>
          <w:sz w:val="24"/>
          <w:szCs w:val="24"/>
          <w:lang w:val="en-US"/>
        </w:rPr>
      </w:pPr>
    </w:p>
    <w:p w:rsidR="00363EA1" w:rsidRPr="00207B36" w:rsidRDefault="00363EA1" w:rsidP="00207B36">
      <w:pPr>
        <w:widowControl w:val="0"/>
        <w:kinsoku w:val="0"/>
        <w:spacing w:after="0" w:line="480" w:lineRule="auto"/>
        <w:rPr>
          <w:rFonts w:ascii="Times New Roman" w:eastAsiaTheme="minorEastAsia" w:hAnsi="Times New Roman" w:cs="Times New Roman"/>
          <w:bCs/>
          <w:sz w:val="24"/>
          <w:szCs w:val="24"/>
          <w:lang w:val="en-US" w:eastAsia="en-IE"/>
        </w:rPr>
      </w:pPr>
    </w:p>
    <w:p w:rsidR="007345F6" w:rsidRPr="00207B36" w:rsidRDefault="007345F6" w:rsidP="00207B36">
      <w:pPr>
        <w:spacing w:line="480" w:lineRule="auto"/>
        <w:rPr>
          <w:rFonts w:ascii="Times New Roman" w:eastAsiaTheme="minorEastAsia" w:hAnsi="Times New Roman" w:cs="Times New Roman"/>
          <w:b/>
          <w:bCs/>
          <w:sz w:val="24"/>
          <w:szCs w:val="24"/>
          <w:lang w:val="en-US" w:eastAsia="en-IE"/>
        </w:rPr>
      </w:pPr>
    </w:p>
    <w:p w:rsidR="00341A96" w:rsidRPr="00207B36" w:rsidRDefault="00341A96" w:rsidP="00207B36">
      <w:pPr>
        <w:spacing w:line="480" w:lineRule="auto"/>
        <w:rPr>
          <w:rFonts w:ascii="Times New Roman" w:hAnsi="Times New Roman" w:cs="Times New Roman"/>
          <w:b/>
          <w:sz w:val="24"/>
          <w:szCs w:val="24"/>
        </w:rPr>
      </w:pPr>
    </w:p>
    <w:p w:rsidR="00341A96" w:rsidRPr="00207B36" w:rsidRDefault="00341A96" w:rsidP="00207B36">
      <w:pPr>
        <w:spacing w:line="480" w:lineRule="auto"/>
        <w:rPr>
          <w:rFonts w:ascii="Times New Roman" w:hAnsi="Times New Roman" w:cs="Times New Roman"/>
          <w:b/>
          <w:sz w:val="24"/>
          <w:szCs w:val="24"/>
        </w:rPr>
      </w:pPr>
    </w:p>
    <w:p w:rsidR="00341A96" w:rsidRPr="00207B36" w:rsidRDefault="00341A96" w:rsidP="00207B36">
      <w:pPr>
        <w:spacing w:line="480" w:lineRule="auto"/>
        <w:rPr>
          <w:rFonts w:ascii="Times New Roman" w:hAnsi="Times New Roman" w:cs="Times New Roman"/>
          <w:b/>
          <w:sz w:val="24"/>
          <w:szCs w:val="24"/>
        </w:rPr>
      </w:pPr>
    </w:p>
    <w:p w:rsidR="00341A96" w:rsidRPr="00207B36" w:rsidRDefault="00341A96" w:rsidP="00207B36">
      <w:pPr>
        <w:spacing w:line="480" w:lineRule="auto"/>
        <w:rPr>
          <w:rFonts w:ascii="Times New Roman" w:hAnsi="Times New Roman" w:cs="Times New Roman"/>
          <w:b/>
          <w:sz w:val="24"/>
          <w:szCs w:val="24"/>
        </w:rPr>
      </w:pPr>
    </w:p>
    <w:p w:rsidR="00341A96" w:rsidRPr="00207B36" w:rsidRDefault="00341A96" w:rsidP="00207B36">
      <w:pPr>
        <w:spacing w:line="480" w:lineRule="auto"/>
        <w:rPr>
          <w:rFonts w:ascii="Times New Roman" w:hAnsi="Times New Roman" w:cs="Times New Roman"/>
          <w:b/>
          <w:sz w:val="24"/>
          <w:szCs w:val="24"/>
        </w:rPr>
      </w:pPr>
    </w:p>
    <w:p w:rsidR="00341A96" w:rsidRPr="00207B36" w:rsidRDefault="00341A96" w:rsidP="00207B36">
      <w:pPr>
        <w:spacing w:line="480" w:lineRule="auto"/>
        <w:rPr>
          <w:rFonts w:ascii="Times New Roman" w:hAnsi="Times New Roman" w:cs="Times New Roman"/>
          <w:b/>
          <w:sz w:val="24"/>
          <w:szCs w:val="24"/>
        </w:rPr>
      </w:pPr>
    </w:p>
    <w:p w:rsidR="00341A96" w:rsidRPr="00207B36" w:rsidRDefault="00341A96" w:rsidP="00207B36">
      <w:pPr>
        <w:spacing w:line="480" w:lineRule="auto"/>
        <w:rPr>
          <w:rFonts w:ascii="Times New Roman" w:hAnsi="Times New Roman" w:cs="Times New Roman"/>
          <w:b/>
          <w:sz w:val="24"/>
          <w:szCs w:val="24"/>
        </w:rPr>
      </w:pPr>
    </w:p>
    <w:p w:rsidR="00341A96" w:rsidRPr="00207B36" w:rsidRDefault="00341A96" w:rsidP="00207B36">
      <w:pPr>
        <w:spacing w:line="480" w:lineRule="auto"/>
        <w:rPr>
          <w:rFonts w:ascii="Times New Roman" w:hAnsi="Times New Roman" w:cs="Times New Roman"/>
          <w:b/>
          <w:sz w:val="24"/>
          <w:szCs w:val="24"/>
        </w:rPr>
      </w:pPr>
    </w:p>
    <w:p w:rsidR="00207B36" w:rsidRDefault="00207B36" w:rsidP="00207B36">
      <w:pPr>
        <w:spacing w:line="480" w:lineRule="auto"/>
        <w:rPr>
          <w:rFonts w:ascii="Times New Roman" w:hAnsi="Times New Roman" w:cs="Times New Roman"/>
          <w:b/>
          <w:sz w:val="24"/>
          <w:szCs w:val="24"/>
        </w:rPr>
      </w:pPr>
    </w:p>
    <w:p w:rsidR="00C22635" w:rsidRPr="00207B36" w:rsidRDefault="00FB7A45" w:rsidP="00207B36">
      <w:pPr>
        <w:spacing w:line="480" w:lineRule="auto"/>
        <w:rPr>
          <w:rFonts w:ascii="Times New Roman" w:hAnsi="Times New Roman" w:cs="Times New Roman"/>
          <w:b/>
          <w:sz w:val="24"/>
          <w:szCs w:val="24"/>
        </w:rPr>
      </w:pPr>
      <w:bookmarkStart w:id="10" w:name="_GoBack"/>
      <w:bookmarkEnd w:id="10"/>
      <w:r w:rsidRPr="00207B36">
        <w:rPr>
          <w:rFonts w:ascii="Times New Roman" w:hAnsi="Times New Roman" w:cs="Times New Roman"/>
          <w:b/>
          <w:sz w:val="24"/>
          <w:szCs w:val="24"/>
        </w:rPr>
        <w:lastRenderedPageBreak/>
        <w:t>Bibliography</w:t>
      </w:r>
      <w:r w:rsidR="00A62F3F" w:rsidRPr="00207B36">
        <w:rPr>
          <w:rFonts w:ascii="Times New Roman" w:hAnsi="Times New Roman" w:cs="Times New Roman"/>
          <w:b/>
          <w:sz w:val="24"/>
          <w:szCs w:val="24"/>
        </w:rPr>
        <w:t xml:space="preserve">: </w:t>
      </w:r>
    </w:p>
    <w:p w:rsidR="00C22635" w:rsidRPr="00207B36" w:rsidRDefault="00C22635" w:rsidP="00207B36">
      <w:pPr>
        <w:spacing w:after="120" w:line="480" w:lineRule="auto"/>
        <w:rPr>
          <w:rFonts w:ascii="Times New Roman" w:hAnsi="Times New Roman" w:cs="Times New Roman"/>
          <w:sz w:val="24"/>
          <w:szCs w:val="24"/>
        </w:rPr>
      </w:pPr>
      <w:r w:rsidRPr="00207B36">
        <w:rPr>
          <w:rFonts w:ascii="Times New Roman" w:hAnsi="Times New Roman" w:cs="Times New Roman"/>
          <w:sz w:val="24"/>
          <w:szCs w:val="24"/>
        </w:rPr>
        <w:t>Aulakh, J.; Regmi, A., (2013). Post Harvest Food Losses Estimation – Development of Consistent Methodology. FAO.</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bCs/>
          <w:sz w:val="24"/>
          <w:szCs w:val="24"/>
          <w:lang w:val="en"/>
        </w:rPr>
      </w:pPr>
      <w:r w:rsidRPr="00207B36">
        <w:rPr>
          <w:rFonts w:ascii="Times New Roman" w:hAnsi="Times New Roman" w:cs="Times New Roman"/>
          <w:sz w:val="24"/>
          <w:szCs w:val="24"/>
        </w:rPr>
        <w:t xml:space="preserve">Broody, G.; Vondracek, B.; Andow, D.A.; Krinke, M.; Westra, J.; Zimmerman, J.; Welle, P., (2005). </w:t>
      </w:r>
      <w:r w:rsidRPr="00207B36">
        <w:rPr>
          <w:rFonts w:ascii="Times New Roman" w:hAnsi="Times New Roman" w:cs="Times New Roman"/>
          <w:bCs/>
          <w:sz w:val="24"/>
          <w:szCs w:val="24"/>
          <w:lang w:val="en"/>
        </w:rPr>
        <w:t xml:space="preserve">Multifunctional Agriculture in the United States. BioScience. </w:t>
      </w:r>
    </w:p>
    <w:p w:rsidR="00577DFB" w:rsidRPr="00207B36" w:rsidRDefault="00577DFB" w:rsidP="00207B36">
      <w:pPr>
        <w:spacing w:after="120" w:line="480" w:lineRule="auto"/>
        <w:rPr>
          <w:rFonts w:ascii="Times New Roman" w:hAnsi="Times New Roman" w:cs="Times New Roman"/>
          <w:bCs/>
          <w:sz w:val="24"/>
          <w:szCs w:val="24"/>
          <w:lang w:val="en"/>
        </w:rPr>
      </w:pPr>
    </w:p>
    <w:p w:rsidR="00577DFB" w:rsidRPr="00207B36" w:rsidRDefault="00577DFB" w:rsidP="00207B36">
      <w:pPr>
        <w:spacing w:after="120" w:line="480" w:lineRule="auto"/>
        <w:rPr>
          <w:rFonts w:ascii="Times New Roman" w:hAnsi="Times New Roman" w:cs="Times New Roman"/>
          <w:bCs/>
          <w:sz w:val="24"/>
          <w:szCs w:val="24"/>
          <w:lang w:val="en"/>
        </w:rPr>
      </w:pPr>
      <w:r w:rsidRPr="00207B36">
        <w:rPr>
          <w:rFonts w:ascii="Times New Roman" w:hAnsi="Times New Roman" w:cs="Times New Roman"/>
          <w:bCs/>
          <w:sz w:val="24"/>
          <w:szCs w:val="24"/>
          <w:lang w:val="en"/>
        </w:rPr>
        <w:t xml:space="preserve">Business Dictionary (2017). </w:t>
      </w:r>
      <w:hyperlink r:id="rId13" w:history="1">
        <w:r w:rsidRPr="00207B36">
          <w:rPr>
            <w:rStyle w:val="Hyperlink"/>
            <w:rFonts w:ascii="Times New Roman" w:hAnsi="Times New Roman" w:cs="Times New Roman"/>
            <w:sz w:val="24"/>
            <w:szCs w:val="24"/>
            <w:lang w:val="en"/>
          </w:rPr>
          <w:t>http://www.businessdictionary.com/definition/social-sustainability.html</w:t>
        </w:r>
      </w:hyperlink>
      <w:r w:rsidRPr="00207B36">
        <w:rPr>
          <w:rFonts w:ascii="Times New Roman" w:hAnsi="Times New Roman" w:cs="Times New Roman"/>
          <w:bCs/>
          <w:sz w:val="24"/>
          <w:szCs w:val="24"/>
          <w:lang w:val="en"/>
        </w:rPr>
        <w:t xml:space="preserve"> (Accessed on April 22, 2017)</w:t>
      </w:r>
      <w:r w:rsidR="0085686D" w:rsidRPr="00207B36">
        <w:rPr>
          <w:rFonts w:ascii="Times New Roman" w:hAnsi="Times New Roman" w:cs="Times New Roman"/>
          <w:bCs/>
          <w:sz w:val="24"/>
          <w:szCs w:val="24"/>
          <w:lang w:val="en"/>
        </w:rPr>
        <w:t>.</w:t>
      </w:r>
    </w:p>
    <w:p w:rsidR="00C22635" w:rsidRPr="00207B36" w:rsidRDefault="00C22635" w:rsidP="00207B36">
      <w:pPr>
        <w:spacing w:after="120" w:line="480" w:lineRule="auto"/>
        <w:rPr>
          <w:rFonts w:ascii="Times New Roman" w:hAnsi="Times New Roman" w:cs="Times New Roman"/>
          <w:sz w:val="24"/>
          <w:szCs w:val="24"/>
          <w:lang w:val="en-US"/>
        </w:rPr>
      </w:pPr>
    </w:p>
    <w:p w:rsidR="00C22635" w:rsidRPr="00207B36" w:rsidRDefault="00C22635" w:rsidP="00207B36">
      <w:pPr>
        <w:spacing w:after="120" w:line="480" w:lineRule="auto"/>
        <w:rPr>
          <w:rFonts w:ascii="Times New Roman" w:hAnsi="Times New Roman" w:cs="Times New Roman"/>
          <w:sz w:val="24"/>
          <w:szCs w:val="24"/>
          <w:lang w:val="en"/>
        </w:rPr>
      </w:pPr>
      <w:r w:rsidRPr="00207B36">
        <w:rPr>
          <w:rFonts w:ascii="Times New Roman" w:hAnsi="Times New Roman" w:cs="Times New Roman"/>
          <w:sz w:val="24"/>
          <w:szCs w:val="24"/>
          <w:lang w:val="en"/>
        </w:rPr>
        <w:t>Carrez, D.; Van Leeuwen, P., (2015). Bioeconomy: Circular by nature. The European Files.</w:t>
      </w:r>
    </w:p>
    <w:p w:rsidR="00C22635" w:rsidRPr="00207B36" w:rsidRDefault="00C22635" w:rsidP="00207B36">
      <w:pPr>
        <w:spacing w:after="120" w:line="480" w:lineRule="auto"/>
        <w:rPr>
          <w:rFonts w:ascii="Times New Roman" w:hAnsi="Times New Roman" w:cs="Times New Roman"/>
          <w:sz w:val="24"/>
          <w:szCs w:val="24"/>
          <w:lang w:val="en"/>
        </w:rPr>
      </w:pPr>
    </w:p>
    <w:p w:rsidR="00C22635" w:rsidRPr="00207B36" w:rsidRDefault="00C22635" w:rsidP="00207B36">
      <w:pPr>
        <w:spacing w:after="120" w:line="480" w:lineRule="auto"/>
        <w:rPr>
          <w:rFonts w:ascii="Times New Roman" w:hAnsi="Times New Roman" w:cs="Times New Roman"/>
          <w:sz w:val="24"/>
          <w:szCs w:val="24"/>
          <w:lang w:val="en-US"/>
        </w:rPr>
      </w:pPr>
      <w:r w:rsidRPr="00207B36">
        <w:rPr>
          <w:rFonts w:ascii="Times New Roman" w:hAnsi="Times New Roman" w:cs="Times New Roman"/>
          <w:sz w:val="24"/>
          <w:szCs w:val="24"/>
          <w:lang w:val="en"/>
        </w:rPr>
        <w:t xml:space="preserve">Cristobal, J.; Matos, C.T.; Aurambout, J.P.; Manfredi, S.; Kavalov, B., (2016). </w:t>
      </w:r>
      <w:r w:rsidRPr="00207B36">
        <w:rPr>
          <w:rFonts w:ascii="Times New Roman" w:hAnsi="Times New Roman" w:cs="Times New Roman"/>
          <w:sz w:val="24"/>
          <w:szCs w:val="24"/>
        </w:rPr>
        <w:t xml:space="preserve">Environmental sustainability assessment of bioeconomy value chains. Elsevier Biomass and Bioenergy. </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1B4A00" w:rsidP="00207B36">
      <w:pPr>
        <w:spacing w:after="120" w:line="480" w:lineRule="auto"/>
        <w:rPr>
          <w:rFonts w:ascii="Times New Roman" w:hAnsi="Times New Roman" w:cs="Times New Roman"/>
          <w:bCs/>
          <w:sz w:val="24"/>
          <w:szCs w:val="24"/>
        </w:rPr>
      </w:pPr>
      <w:hyperlink r:id="rId14" w:history="1">
        <w:r w:rsidR="00C22635" w:rsidRPr="00207B36">
          <w:rPr>
            <w:rStyle w:val="Hyperlink"/>
            <w:rFonts w:ascii="Times New Roman" w:hAnsi="Times New Roman" w:cs="Times New Roman"/>
            <w:bCs/>
            <w:sz w:val="24"/>
            <w:szCs w:val="24"/>
          </w:rPr>
          <w:t>Crittenden</w:t>
        </w:r>
      </w:hyperlink>
      <w:r w:rsidR="00C22635" w:rsidRPr="00207B36">
        <w:rPr>
          <w:rFonts w:ascii="Times New Roman" w:hAnsi="Times New Roman" w:cs="Times New Roman"/>
          <w:bCs/>
          <w:sz w:val="24"/>
          <w:szCs w:val="24"/>
        </w:rPr>
        <w:t xml:space="preserve">, J.; </w:t>
      </w:r>
      <w:hyperlink r:id="rId15" w:history="1">
        <w:r w:rsidR="00C22635" w:rsidRPr="00207B36">
          <w:rPr>
            <w:rStyle w:val="Hyperlink"/>
            <w:rFonts w:ascii="Times New Roman" w:hAnsi="Times New Roman" w:cs="Times New Roman"/>
            <w:bCs/>
            <w:sz w:val="24"/>
            <w:szCs w:val="24"/>
          </w:rPr>
          <w:t>Chris Hendrickson</w:t>
        </w:r>
      </w:hyperlink>
      <w:r w:rsidR="00C22635" w:rsidRPr="00207B36">
        <w:rPr>
          <w:rFonts w:ascii="Times New Roman" w:hAnsi="Times New Roman" w:cs="Times New Roman"/>
          <w:bCs/>
          <w:sz w:val="24"/>
          <w:szCs w:val="24"/>
        </w:rPr>
        <w:t xml:space="preserve">, P.E.; </w:t>
      </w:r>
      <w:hyperlink r:id="rId16" w:history="1">
        <w:r w:rsidR="00C22635" w:rsidRPr="00207B36">
          <w:rPr>
            <w:rStyle w:val="Hyperlink"/>
            <w:rFonts w:ascii="Times New Roman" w:hAnsi="Times New Roman" w:cs="Times New Roman"/>
            <w:bCs/>
            <w:sz w:val="24"/>
            <w:szCs w:val="24"/>
          </w:rPr>
          <w:t>Wallace</w:t>
        </w:r>
      </w:hyperlink>
      <w:r w:rsidR="00C22635" w:rsidRPr="00207B36">
        <w:rPr>
          <w:rFonts w:ascii="Times New Roman" w:hAnsi="Times New Roman" w:cs="Times New Roman"/>
          <w:bCs/>
          <w:sz w:val="24"/>
          <w:szCs w:val="24"/>
        </w:rPr>
        <w:t>, B.; ICSI 2014: Creating Infrastructure for a Sustainable World ASCE.</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iCs/>
          <w:sz w:val="24"/>
          <w:szCs w:val="24"/>
          <w:lang w:val="en"/>
        </w:rPr>
      </w:pPr>
      <w:r w:rsidRPr="00207B36">
        <w:rPr>
          <w:rFonts w:ascii="Times New Roman" w:hAnsi="Times New Roman" w:cs="Times New Roman"/>
          <w:sz w:val="24"/>
          <w:szCs w:val="24"/>
          <w:lang w:val="en"/>
        </w:rPr>
        <w:t>Daniels, R.B.; Gilliam, J.W., (</w:t>
      </w:r>
      <w:r w:rsidRPr="00207B36">
        <w:rPr>
          <w:rFonts w:ascii="Times New Roman" w:hAnsi="Times New Roman" w:cs="Times New Roman"/>
          <w:iCs/>
          <w:sz w:val="24"/>
          <w:szCs w:val="24"/>
          <w:lang w:val="en"/>
        </w:rPr>
        <w:t>1996). Sediment and chemical load reduction by grass and riparian filters. Soil Science Society of America Journal. 60: 246-251.</w:t>
      </w:r>
    </w:p>
    <w:p w:rsidR="00C22635" w:rsidRPr="00207B36" w:rsidRDefault="00C22635" w:rsidP="00207B36">
      <w:pPr>
        <w:spacing w:after="120" w:line="480" w:lineRule="auto"/>
        <w:rPr>
          <w:rFonts w:ascii="Times New Roman" w:hAnsi="Times New Roman" w:cs="Times New Roman"/>
          <w:iCs/>
          <w:sz w:val="24"/>
          <w:szCs w:val="24"/>
          <w:lang w:val="en"/>
        </w:rPr>
      </w:pPr>
    </w:p>
    <w:p w:rsidR="00C22635" w:rsidRPr="00207B36" w:rsidRDefault="00C22635" w:rsidP="00207B36">
      <w:pPr>
        <w:spacing w:after="120" w:line="480" w:lineRule="auto"/>
        <w:rPr>
          <w:rFonts w:ascii="Times New Roman" w:hAnsi="Times New Roman" w:cs="Times New Roman"/>
          <w:iCs/>
          <w:sz w:val="24"/>
          <w:szCs w:val="24"/>
          <w:lang w:val="en"/>
        </w:rPr>
      </w:pPr>
      <w:r w:rsidRPr="00207B36">
        <w:rPr>
          <w:rFonts w:ascii="Times New Roman" w:hAnsi="Times New Roman" w:cs="Times New Roman"/>
          <w:iCs/>
          <w:sz w:val="24"/>
          <w:szCs w:val="24"/>
          <w:lang w:val="en"/>
        </w:rPr>
        <w:lastRenderedPageBreak/>
        <w:t>Daly, H. E. 1990. Toward some operational principles of sustainable development. Ecological Economics 2:1–6.</w:t>
      </w:r>
    </w:p>
    <w:p w:rsidR="00C22635" w:rsidRPr="00207B36" w:rsidRDefault="00C22635" w:rsidP="00207B36">
      <w:pPr>
        <w:spacing w:after="120" w:line="480" w:lineRule="auto"/>
        <w:rPr>
          <w:rFonts w:ascii="Times New Roman" w:hAnsi="Times New Roman" w:cs="Times New Roman"/>
          <w:sz w:val="24"/>
          <w:szCs w:val="24"/>
          <w:lang w:val="en"/>
        </w:rPr>
      </w:pPr>
    </w:p>
    <w:p w:rsidR="00C22635" w:rsidRPr="00207B36" w:rsidRDefault="00C22635" w:rsidP="00207B36">
      <w:pPr>
        <w:spacing w:after="120" w:line="480" w:lineRule="auto"/>
        <w:rPr>
          <w:rFonts w:ascii="Times New Roman" w:hAnsi="Times New Roman" w:cs="Times New Roman"/>
          <w:sz w:val="24"/>
          <w:szCs w:val="24"/>
          <w:lang w:val="en-US"/>
        </w:rPr>
      </w:pPr>
      <w:r w:rsidRPr="00207B36">
        <w:rPr>
          <w:rFonts w:ascii="Times New Roman" w:hAnsi="Times New Roman" w:cs="Times New Roman"/>
          <w:sz w:val="24"/>
          <w:szCs w:val="24"/>
        </w:rPr>
        <w:t>De Schutter, O., (2011). How not to think of land grabbing: three critiques of large- scale investment in far</w:t>
      </w:r>
      <w:r w:rsidR="005F10B5" w:rsidRPr="00207B36">
        <w:rPr>
          <w:rFonts w:ascii="Times New Roman" w:hAnsi="Times New Roman" w:cs="Times New Roman"/>
          <w:sz w:val="24"/>
          <w:szCs w:val="24"/>
        </w:rPr>
        <w:t>mland. J. Peasants Stud. 38:</w:t>
      </w:r>
      <w:r w:rsidRPr="00207B36">
        <w:rPr>
          <w:rFonts w:ascii="Times New Roman" w:hAnsi="Times New Roman" w:cs="Times New Roman"/>
          <w:sz w:val="24"/>
          <w:szCs w:val="24"/>
        </w:rPr>
        <w:t xml:space="preserve"> 249–279.</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sz w:val="24"/>
          <w:szCs w:val="24"/>
        </w:rPr>
      </w:pPr>
      <w:r w:rsidRPr="00207B36">
        <w:rPr>
          <w:rFonts w:ascii="Times New Roman" w:hAnsi="Times New Roman" w:cs="Times New Roman"/>
          <w:sz w:val="24"/>
          <w:szCs w:val="24"/>
        </w:rPr>
        <w:t>Devane</w:t>
      </w:r>
      <w:r w:rsidR="00092D70" w:rsidRPr="00207B36">
        <w:rPr>
          <w:rFonts w:ascii="Times New Roman" w:hAnsi="Times New Roman" w:cs="Times New Roman"/>
          <w:sz w:val="24"/>
          <w:szCs w:val="24"/>
        </w:rPr>
        <w:t xml:space="preserve">y, L. and Henchion, M. (2016). </w:t>
      </w:r>
      <w:r w:rsidRPr="00207B36">
        <w:rPr>
          <w:rFonts w:ascii="Times New Roman" w:hAnsi="Times New Roman" w:cs="Times New Roman"/>
          <w:sz w:val="24"/>
          <w:szCs w:val="24"/>
        </w:rPr>
        <w:t xml:space="preserve">BioÉire: a </w:t>
      </w:r>
      <w:r w:rsidR="005F10B5" w:rsidRPr="00207B36">
        <w:rPr>
          <w:rFonts w:ascii="Times New Roman" w:hAnsi="Times New Roman" w:cs="Times New Roman"/>
          <w:sz w:val="24"/>
          <w:szCs w:val="24"/>
        </w:rPr>
        <w:t xml:space="preserve">bioeconomy for Ireland – Delphi </w:t>
      </w:r>
      <w:r w:rsidR="00092D70" w:rsidRPr="00207B36">
        <w:rPr>
          <w:rFonts w:ascii="Times New Roman" w:hAnsi="Times New Roman" w:cs="Times New Roman"/>
          <w:sz w:val="24"/>
          <w:szCs w:val="24"/>
        </w:rPr>
        <w:t>Study Integrated Results Report</w:t>
      </w:r>
      <w:r w:rsidRPr="00207B36">
        <w:rPr>
          <w:rFonts w:ascii="Times New Roman" w:hAnsi="Times New Roman" w:cs="Times New Roman"/>
          <w:sz w:val="24"/>
          <w:szCs w:val="24"/>
        </w:rPr>
        <w:t>, Teagasc, Dublin.</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sz w:val="24"/>
          <w:szCs w:val="24"/>
        </w:rPr>
      </w:pPr>
      <w:r w:rsidRPr="00207B36">
        <w:rPr>
          <w:rFonts w:ascii="Times New Roman" w:hAnsi="Times New Roman" w:cs="Times New Roman"/>
          <w:sz w:val="24"/>
          <w:szCs w:val="24"/>
        </w:rPr>
        <w:t xml:space="preserve">Devaney, L. (2017). BioEire: a Bioeconomy for Ireland. Meat Co-Products Workshop. </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sz w:val="24"/>
          <w:szCs w:val="24"/>
        </w:rPr>
      </w:pPr>
      <w:r w:rsidRPr="00207B36">
        <w:rPr>
          <w:rFonts w:ascii="Times New Roman" w:hAnsi="Times New Roman" w:cs="Times New Roman"/>
          <w:sz w:val="24"/>
          <w:szCs w:val="24"/>
        </w:rPr>
        <w:t>Devane</w:t>
      </w:r>
      <w:r w:rsidR="00092D70" w:rsidRPr="00207B36">
        <w:rPr>
          <w:rFonts w:ascii="Times New Roman" w:hAnsi="Times New Roman" w:cs="Times New Roman"/>
          <w:sz w:val="24"/>
          <w:szCs w:val="24"/>
        </w:rPr>
        <w:t xml:space="preserve">y, L. and Henchion, M. (2017). </w:t>
      </w:r>
      <w:r w:rsidRPr="00207B36">
        <w:rPr>
          <w:rFonts w:ascii="Times New Roman" w:hAnsi="Times New Roman" w:cs="Times New Roman"/>
          <w:sz w:val="24"/>
          <w:szCs w:val="24"/>
        </w:rPr>
        <w:t>If opportuni</w:t>
      </w:r>
      <w:r w:rsidR="005F10B5" w:rsidRPr="00207B36">
        <w:rPr>
          <w:rFonts w:ascii="Times New Roman" w:hAnsi="Times New Roman" w:cs="Times New Roman"/>
          <w:sz w:val="24"/>
          <w:szCs w:val="24"/>
        </w:rPr>
        <w:t xml:space="preserve">ty doesn’t knock, build a door: </w:t>
      </w:r>
      <w:r w:rsidRPr="00207B36">
        <w:rPr>
          <w:rFonts w:ascii="Times New Roman" w:hAnsi="Times New Roman" w:cs="Times New Roman"/>
          <w:sz w:val="24"/>
          <w:szCs w:val="24"/>
        </w:rPr>
        <w:t>reflecting on a bioec</w:t>
      </w:r>
      <w:r w:rsidR="00092D70" w:rsidRPr="00207B36">
        <w:rPr>
          <w:rFonts w:ascii="Times New Roman" w:hAnsi="Times New Roman" w:cs="Times New Roman"/>
          <w:sz w:val="24"/>
          <w:szCs w:val="24"/>
        </w:rPr>
        <w:t>onomy policy agenda for Ireland</w:t>
      </w:r>
      <w:r w:rsidRPr="00207B36">
        <w:rPr>
          <w:rFonts w:ascii="Times New Roman" w:hAnsi="Times New Roman" w:cs="Times New Roman"/>
          <w:sz w:val="24"/>
          <w:szCs w:val="24"/>
        </w:rPr>
        <w:t>, The Economic and</w:t>
      </w:r>
      <w:r w:rsidR="005F10B5" w:rsidRPr="00207B36">
        <w:rPr>
          <w:rFonts w:ascii="Times New Roman" w:hAnsi="Times New Roman" w:cs="Times New Roman"/>
          <w:sz w:val="24"/>
          <w:szCs w:val="24"/>
        </w:rPr>
        <w:t xml:space="preserve"> Social </w:t>
      </w:r>
      <w:r w:rsidRPr="00207B36">
        <w:rPr>
          <w:rFonts w:ascii="Times New Roman" w:hAnsi="Times New Roman" w:cs="Times New Roman"/>
          <w:sz w:val="24"/>
          <w:szCs w:val="24"/>
        </w:rPr>
        <w:t>Review, forthcoming 2017.</w:t>
      </w:r>
    </w:p>
    <w:p w:rsidR="00C22635" w:rsidRPr="00207B36" w:rsidRDefault="00C22635" w:rsidP="00207B36">
      <w:pPr>
        <w:spacing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sz w:val="24"/>
          <w:szCs w:val="24"/>
        </w:rPr>
      </w:pPr>
      <w:r w:rsidRPr="00207B36">
        <w:rPr>
          <w:rFonts w:ascii="Times New Roman" w:hAnsi="Times New Roman" w:cs="Times New Roman"/>
          <w:sz w:val="24"/>
          <w:szCs w:val="24"/>
        </w:rPr>
        <w:t xml:space="preserve">European Commission Joint Research Centre (2010). Product Environment Footprint (PEF) guide 2010.  </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sz w:val="24"/>
          <w:szCs w:val="24"/>
        </w:rPr>
      </w:pPr>
      <w:r w:rsidRPr="00207B36">
        <w:rPr>
          <w:rFonts w:ascii="Times New Roman" w:hAnsi="Times New Roman" w:cs="Times New Roman"/>
          <w:sz w:val="24"/>
          <w:szCs w:val="24"/>
        </w:rPr>
        <w:t>Groenfeldt, D., (2009). Multifunctional Agriculture Policies and Practices in Europe and relevance for Monsoon Asia. Water and Culture Institute.</w:t>
      </w:r>
    </w:p>
    <w:p w:rsidR="0035227D" w:rsidRPr="00207B36" w:rsidRDefault="0035227D" w:rsidP="00207B36">
      <w:pPr>
        <w:spacing w:after="120" w:line="480" w:lineRule="auto"/>
        <w:rPr>
          <w:rFonts w:ascii="Times New Roman" w:hAnsi="Times New Roman" w:cs="Times New Roman"/>
          <w:sz w:val="24"/>
          <w:szCs w:val="24"/>
        </w:rPr>
      </w:pPr>
    </w:p>
    <w:p w:rsidR="0035227D" w:rsidRPr="00207B36" w:rsidRDefault="00E55A05" w:rsidP="00207B36">
      <w:pPr>
        <w:spacing w:after="120" w:line="480" w:lineRule="auto"/>
        <w:rPr>
          <w:rFonts w:ascii="Times New Roman" w:hAnsi="Times New Roman" w:cs="Times New Roman"/>
          <w:sz w:val="24"/>
          <w:szCs w:val="24"/>
        </w:rPr>
      </w:pPr>
      <w:r w:rsidRPr="00207B36">
        <w:rPr>
          <w:rFonts w:ascii="Times New Roman" w:hAnsi="Times New Roman" w:cs="Times New Roman"/>
          <w:sz w:val="24"/>
          <w:szCs w:val="24"/>
        </w:rPr>
        <w:lastRenderedPageBreak/>
        <w:t xml:space="preserve">Harclerode, M.; </w:t>
      </w:r>
      <w:r w:rsidR="00E24F44" w:rsidRPr="00207B36">
        <w:rPr>
          <w:rFonts w:ascii="Times New Roman" w:hAnsi="Times New Roman" w:cs="Times New Roman"/>
          <w:sz w:val="24"/>
          <w:szCs w:val="24"/>
        </w:rPr>
        <w:t xml:space="preserve">Ridsdale, D.R.; </w:t>
      </w:r>
      <w:r w:rsidR="0035227D" w:rsidRPr="00207B36">
        <w:rPr>
          <w:rFonts w:ascii="Times New Roman" w:hAnsi="Times New Roman" w:cs="Times New Roman"/>
          <w:sz w:val="24"/>
          <w:szCs w:val="24"/>
        </w:rPr>
        <w:t xml:space="preserve">Darmendrail, D.; Bardos, P.;  Alexandrescu, F.; Nathanail, P.;  Pizzol, L. and  Rizzo, E. (2015). Integrating the Social Dimension in Remediation Decision-Making: State of the Practice and Way Forward. </w:t>
      </w:r>
      <w:r w:rsidR="00DB09A2" w:rsidRPr="00207B36">
        <w:rPr>
          <w:rFonts w:ascii="Times New Roman" w:hAnsi="Times New Roman" w:cs="Times New Roman"/>
          <w:sz w:val="24"/>
          <w:szCs w:val="24"/>
        </w:rPr>
        <w:t>Remediation, 26: 11-42.</w:t>
      </w:r>
    </w:p>
    <w:p w:rsidR="00C22635" w:rsidRPr="00207B36" w:rsidRDefault="00C22635" w:rsidP="00207B36">
      <w:pPr>
        <w:tabs>
          <w:tab w:val="left" w:pos="2520"/>
        </w:tabs>
        <w:spacing w:after="120" w:line="480" w:lineRule="auto"/>
        <w:rPr>
          <w:rFonts w:ascii="Times New Roman" w:hAnsi="Times New Roman" w:cs="Times New Roman"/>
          <w:sz w:val="24"/>
          <w:szCs w:val="24"/>
        </w:rPr>
      </w:pPr>
      <w:r w:rsidRPr="00207B36">
        <w:rPr>
          <w:rFonts w:ascii="Times New Roman" w:hAnsi="Times New Roman" w:cs="Times New Roman"/>
          <w:sz w:val="24"/>
          <w:szCs w:val="24"/>
        </w:rPr>
        <w:tab/>
      </w:r>
    </w:p>
    <w:p w:rsidR="00C22635" w:rsidRPr="00207B36" w:rsidRDefault="00C22635" w:rsidP="00207B36">
      <w:pPr>
        <w:spacing w:after="120" w:line="480" w:lineRule="auto"/>
        <w:rPr>
          <w:rFonts w:ascii="Times New Roman" w:hAnsi="Times New Roman" w:cs="Times New Roman"/>
          <w:sz w:val="24"/>
          <w:szCs w:val="24"/>
          <w:lang w:val="en-IE"/>
        </w:rPr>
      </w:pPr>
      <w:r w:rsidRPr="00207B36">
        <w:rPr>
          <w:rFonts w:ascii="Times New Roman" w:hAnsi="Times New Roman" w:cs="Times New Roman"/>
          <w:sz w:val="24"/>
          <w:szCs w:val="24"/>
          <w:lang w:val="en-IE"/>
        </w:rPr>
        <w:t xml:space="preserve">Hermann, B.G.; Debeer, L.; De Wilde, B.; Blok, K.; Patel; M.K. (2011). </w:t>
      </w:r>
      <w:r w:rsidRPr="00207B36">
        <w:rPr>
          <w:rFonts w:ascii="Times New Roman" w:hAnsi="Times New Roman" w:cs="Times New Roman"/>
          <w:bCs/>
          <w:sz w:val="24"/>
          <w:szCs w:val="24"/>
          <w:lang w:val="en-IE"/>
        </w:rPr>
        <w:t>To compost or not to compost: carbon and energy footprints of biodegradable materials' waste treatment</w:t>
      </w:r>
      <w:r w:rsidRPr="00207B36">
        <w:rPr>
          <w:rFonts w:ascii="Times New Roman" w:hAnsi="Times New Roman" w:cs="Times New Roman"/>
          <w:sz w:val="24"/>
          <w:szCs w:val="24"/>
          <w:lang w:val="en-IE"/>
        </w:rPr>
        <w:t>. Polymer Degradation Stabilisation, 96: 1159–1171</w:t>
      </w:r>
    </w:p>
    <w:p w:rsidR="00C22635" w:rsidRPr="00207B36" w:rsidRDefault="00C22635" w:rsidP="00207B36">
      <w:pPr>
        <w:spacing w:after="120" w:line="480" w:lineRule="auto"/>
        <w:rPr>
          <w:rFonts w:ascii="Times New Roman" w:hAnsi="Times New Roman" w:cs="Times New Roman"/>
          <w:sz w:val="24"/>
          <w:szCs w:val="24"/>
          <w:lang w:val="en-IE"/>
        </w:rPr>
      </w:pPr>
    </w:p>
    <w:p w:rsidR="00C22635" w:rsidRPr="00207B36" w:rsidRDefault="00C22635" w:rsidP="00207B36">
      <w:pPr>
        <w:spacing w:after="120" w:line="480" w:lineRule="auto"/>
        <w:rPr>
          <w:rFonts w:ascii="Times New Roman" w:hAnsi="Times New Roman" w:cs="Times New Roman"/>
          <w:sz w:val="24"/>
          <w:szCs w:val="24"/>
          <w:lang w:val="en-US"/>
        </w:rPr>
      </w:pPr>
      <w:r w:rsidRPr="00207B36">
        <w:rPr>
          <w:rFonts w:ascii="Times New Roman" w:hAnsi="Times New Roman" w:cs="Times New Roman"/>
          <w:sz w:val="24"/>
          <w:szCs w:val="24"/>
        </w:rPr>
        <w:t xml:space="preserve">Jordan, N.; Boody, G.; Broussard, W.; Glover, J.D.; Keeney, D.; McCown, B.H.; McIsaac, G.; Muller, M.; Murray, H.; Neal, J., (2007). Sustainable development of the agricultural bio-economy. </w:t>
      </w:r>
      <w:r w:rsidRPr="00207B36">
        <w:rPr>
          <w:rFonts w:ascii="Times New Roman" w:hAnsi="Times New Roman" w:cs="Times New Roman"/>
          <w:iCs/>
          <w:sz w:val="24"/>
          <w:szCs w:val="24"/>
        </w:rPr>
        <w:t>Science</w:t>
      </w:r>
      <w:r w:rsidRPr="00207B36">
        <w:rPr>
          <w:rFonts w:ascii="Times New Roman" w:hAnsi="Times New Roman" w:cs="Times New Roman"/>
          <w:sz w:val="24"/>
          <w:szCs w:val="24"/>
        </w:rPr>
        <w:t xml:space="preserve">, </w:t>
      </w:r>
      <w:r w:rsidRPr="00207B36">
        <w:rPr>
          <w:rFonts w:ascii="Times New Roman" w:hAnsi="Times New Roman" w:cs="Times New Roman"/>
          <w:iCs/>
          <w:sz w:val="24"/>
          <w:szCs w:val="24"/>
        </w:rPr>
        <w:t>316</w:t>
      </w:r>
      <w:r w:rsidR="005F10B5" w:rsidRPr="00207B36">
        <w:rPr>
          <w:rFonts w:ascii="Times New Roman" w:hAnsi="Times New Roman" w:cs="Times New Roman"/>
          <w:sz w:val="24"/>
          <w:szCs w:val="24"/>
        </w:rPr>
        <w:t xml:space="preserve">: </w:t>
      </w:r>
      <w:r w:rsidRPr="00207B36">
        <w:rPr>
          <w:rFonts w:ascii="Times New Roman" w:hAnsi="Times New Roman" w:cs="Times New Roman"/>
          <w:sz w:val="24"/>
          <w:szCs w:val="24"/>
        </w:rPr>
        <w:t>1570–1571.</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sz w:val="24"/>
          <w:szCs w:val="24"/>
          <w:lang w:val="en-IE"/>
        </w:rPr>
      </w:pPr>
      <w:r w:rsidRPr="00207B36">
        <w:rPr>
          <w:rFonts w:ascii="Times New Roman" w:hAnsi="Times New Roman" w:cs="Times New Roman"/>
          <w:sz w:val="24"/>
          <w:szCs w:val="24"/>
          <w:lang w:val="en-IE"/>
        </w:rPr>
        <w:t xml:space="preserve">Khoo, H.H.; Tan, R.B.H., (2010). </w:t>
      </w:r>
      <w:r w:rsidRPr="00207B36">
        <w:rPr>
          <w:rFonts w:ascii="Times New Roman" w:hAnsi="Times New Roman" w:cs="Times New Roman"/>
          <w:bCs/>
          <w:sz w:val="24"/>
          <w:szCs w:val="24"/>
          <w:lang w:val="en-IE"/>
        </w:rPr>
        <w:t>Environmental impacts of conventional plastic and bio-based carrier bags part 2: end-of-life options</w:t>
      </w:r>
      <w:r w:rsidRPr="00207B36">
        <w:rPr>
          <w:rFonts w:ascii="Times New Roman" w:hAnsi="Times New Roman" w:cs="Times New Roman"/>
          <w:sz w:val="24"/>
          <w:szCs w:val="24"/>
          <w:lang w:val="en-IE"/>
        </w:rPr>
        <w:t>. International Life Cycle Assessment, 15: 338–345</w:t>
      </w:r>
    </w:p>
    <w:p w:rsidR="00C22635" w:rsidRPr="00207B36" w:rsidRDefault="00C22635" w:rsidP="00207B36">
      <w:pPr>
        <w:spacing w:after="120" w:line="480" w:lineRule="auto"/>
        <w:rPr>
          <w:rFonts w:ascii="Times New Roman" w:hAnsi="Times New Roman" w:cs="Times New Roman"/>
          <w:sz w:val="24"/>
          <w:szCs w:val="24"/>
          <w:lang w:val="en-IE"/>
        </w:rPr>
      </w:pPr>
    </w:p>
    <w:p w:rsidR="00C22635" w:rsidRPr="00207B36" w:rsidRDefault="00C22635" w:rsidP="00207B36">
      <w:pPr>
        <w:spacing w:after="120" w:line="480" w:lineRule="auto"/>
        <w:rPr>
          <w:rFonts w:ascii="Times New Roman" w:hAnsi="Times New Roman" w:cs="Times New Roman"/>
          <w:sz w:val="24"/>
          <w:szCs w:val="24"/>
          <w:lang w:val="en-US"/>
        </w:rPr>
      </w:pPr>
      <w:r w:rsidRPr="00207B36">
        <w:rPr>
          <w:rFonts w:ascii="Times New Roman" w:hAnsi="Times New Roman" w:cs="Times New Roman"/>
          <w:sz w:val="24"/>
          <w:szCs w:val="24"/>
        </w:rPr>
        <w:t xml:space="preserve">Knickel, K. and Kröger, M., (2008). Evaluation of policies in terms of the multifunctionality of agriculture and rural space: more integrative conceptual and analytical frameworks needed. </w:t>
      </w:r>
      <w:r w:rsidRPr="00207B36">
        <w:rPr>
          <w:rFonts w:ascii="Times New Roman" w:hAnsi="Times New Roman" w:cs="Times New Roman"/>
          <w:iCs/>
          <w:sz w:val="24"/>
          <w:szCs w:val="24"/>
        </w:rPr>
        <w:t>International Journal of Agricultural Resources, Governance and Ecology</w:t>
      </w:r>
      <w:r w:rsidRPr="00207B36">
        <w:rPr>
          <w:rFonts w:ascii="Times New Roman" w:hAnsi="Times New Roman" w:cs="Times New Roman"/>
          <w:sz w:val="24"/>
          <w:szCs w:val="24"/>
        </w:rPr>
        <w:t>, 11: 269-289.</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sz w:val="24"/>
          <w:szCs w:val="24"/>
        </w:rPr>
      </w:pPr>
      <w:r w:rsidRPr="00207B36">
        <w:rPr>
          <w:rFonts w:ascii="Times New Roman" w:hAnsi="Times New Roman" w:cs="Times New Roman"/>
          <w:iCs/>
          <w:sz w:val="24"/>
          <w:szCs w:val="24"/>
          <w:lang w:val="en"/>
        </w:rPr>
        <w:t xml:space="preserve">Magee, L., Scerri, A.; James, P.; Thom, J.A.; Padgham, Lin.; Hickmott, S.; Deng,H. Cahill, F., (2013). </w:t>
      </w:r>
      <w:hyperlink r:id="rId17" w:history="1">
        <w:r w:rsidRPr="00207B36">
          <w:rPr>
            <w:rStyle w:val="Hyperlink"/>
            <w:rFonts w:ascii="Times New Roman" w:hAnsi="Times New Roman" w:cs="Times New Roman"/>
            <w:iCs/>
            <w:sz w:val="24"/>
            <w:szCs w:val="24"/>
            <w:lang w:val="en"/>
          </w:rPr>
          <w:t>Reframing social sustainability reporting: Towards an engaged approach</w:t>
        </w:r>
      </w:hyperlink>
      <w:r w:rsidRPr="00207B36">
        <w:rPr>
          <w:rFonts w:ascii="Times New Roman" w:hAnsi="Times New Roman" w:cs="Times New Roman"/>
          <w:iCs/>
          <w:sz w:val="24"/>
          <w:szCs w:val="24"/>
          <w:lang w:val="en"/>
        </w:rPr>
        <w:t>. Environment, Development and Sustainability.</w:t>
      </w:r>
    </w:p>
    <w:p w:rsidR="00C22635" w:rsidRPr="00207B36" w:rsidRDefault="00C22635" w:rsidP="00207B36">
      <w:pPr>
        <w:spacing w:after="120" w:line="480" w:lineRule="auto"/>
        <w:rPr>
          <w:rFonts w:ascii="Times New Roman" w:hAnsi="Times New Roman" w:cs="Times New Roman"/>
          <w:sz w:val="24"/>
          <w:szCs w:val="24"/>
          <w:lang w:val="en-IE"/>
        </w:rPr>
      </w:pPr>
    </w:p>
    <w:p w:rsidR="00C22635" w:rsidRPr="00207B36" w:rsidRDefault="00C22635" w:rsidP="00207B36">
      <w:pPr>
        <w:spacing w:after="120" w:line="480" w:lineRule="auto"/>
        <w:rPr>
          <w:rFonts w:ascii="Times New Roman" w:hAnsi="Times New Roman" w:cs="Times New Roman"/>
          <w:sz w:val="24"/>
          <w:szCs w:val="24"/>
          <w:lang w:val="en-IE"/>
        </w:rPr>
      </w:pPr>
      <w:r w:rsidRPr="00207B36">
        <w:rPr>
          <w:rFonts w:ascii="Times New Roman" w:hAnsi="Times New Roman" w:cs="Times New Roman"/>
          <w:sz w:val="24"/>
          <w:szCs w:val="24"/>
          <w:lang w:val="en-IE"/>
        </w:rPr>
        <w:t xml:space="preserve">Lauri, P.; Havlík, P.; Kindermann, G.; Forsell, N.; Böttcher, H.; Obersteiner. M., (2014). </w:t>
      </w:r>
      <w:r w:rsidRPr="00207B36">
        <w:rPr>
          <w:rFonts w:ascii="Times New Roman" w:hAnsi="Times New Roman" w:cs="Times New Roman"/>
          <w:bCs/>
          <w:sz w:val="24"/>
          <w:szCs w:val="24"/>
          <w:lang w:val="en-IE"/>
        </w:rPr>
        <w:t>Woody biomass energy potential in 2050</w:t>
      </w:r>
      <w:r w:rsidRPr="00207B36">
        <w:rPr>
          <w:rFonts w:ascii="Times New Roman" w:hAnsi="Times New Roman" w:cs="Times New Roman"/>
          <w:sz w:val="24"/>
          <w:szCs w:val="24"/>
          <w:lang w:val="en-IE"/>
        </w:rPr>
        <w:t>. Energy Policy, 66: 19–31.</w:t>
      </w:r>
    </w:p>
    <w:p w:rsidR="00C22635" w:rsidRPr="00207B36" w:rsidRDefault="00C22635" w:rsidP="00207B36">
      <w:pPr>
        <w:spacing w:after="120" w:line="480" w:lineRule="auto"/>
        <w:rPr>
          <w:rFonts w:ascii="Times New Roman" w:hAnsi="Times New Roman" w:cs="Times New Roman"/>
          <w:sz w:val="24"/>
          <w:szCs w:val="24"/>
          <w:lang w:val="en-IE"/>
        </w:rPr>
      </w:pPr>
    </w:p>
    <w:p w:rsidR="00C22635" w:rsidRPr="00207B36" w:rsidRDefault="00C22635" w:rsidP="00207B36">
      <w:pPr>
        <w:spacing w:after="120" w:line="480" w:lineRule="auto"/>
        <w:rPr>
          <w:rFonts w:ascii="Times New Roman" w:hAnsi="Times New Roman" w:cs="Times New Roman"/>
          <w:sz w:val="24"/>
          <w:szCs w:val="24"/>
          <w:lang w:val="en-US"/>
        </w:rPr>
      </w:pPr>
      <w:r w:rsidRPr="00207B36">
        <w:rPr>
          <w:rFonts w:ascii="Times New Roman" w:hAnsi="Times New Roman" w:cs="Times New Roman"/>
          <w:sz w:val="24"/>
          <w:szCs w:val="24"/>
        </w:rPr>
        <w:t xml:space="preserve">Lewandowski, I., (2015). Securing a sustainable biomass supply in a growing bioeconomy. </w:t>
      </w:r>
      <w:r w:rsidRPr="00207B36">
        <w:rPr>
          <w:rFonts w:ascii="Times New Roman" w:hAnsi="Times New Roman" w:cs="Times New Roman"/>
          <w:iCs/>
          <w:sz w:val="24"/>
          <w:szCs w:val="24"/>
        </w:rPr>
        <w:t>Global Food Security</w:t>
      </w:r>
      <w:r w:rsidRPr="00207B36">
        <w:rPr>
          <w:rFonts w:ascii="Times New Roman" w:hAnsi="Times New Roman" w:cs="Times New Roman"/>
          <w:sz w:val="24"/>
          <w:szCs w:val="24"/>
        </w:rPr>
        <w:t xml:space="preserve">, </w:t>
      </w:r>
      <w:r w:rsidR="005F10B5" w:rsidRPr="00207B36">
        <w:rPr>
          <w:rFonts w:ascii="Times New Roman" w:hAnsi="Times New Roman" w:cs="Times New Roman"/>
          <w:sz w:val="24"/>
          <w:szCs w:val="24"/>
        </w:rPr>
        <w:t>6:</w:t>
      </w:r>
      <w:r w:rsidRPr="00207B36">
        <w:rPr>
          <w:rFonts w:ascii="Times New Roman" w:hAnsi="Times New Roman" w:cs="Times New Roman"/>
          <w:sz w:val="24"/>
          <w:szCs w:val="24"/>
        </w:rPr>
        <w:t xml:space="preserve"> 34.</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sz w:val="24"/>
          <w:szCs w:val="24"/>
        </w:rPr>
      </w:pPr>
      <w:r w:rsidRPr="00207B36">
        <w:rPr>
          <w:rFonts w:ascii="Times New Roman" w:hAnsi="Times New Roman" w:cs="Times New Roman"/>
          <w:sz w:val="24"/>
          <w:szCs w:val="24"/>
        </w:rPr>
        <w:t>Mangoyana, R.B. and Smith, T.F., (2011). Decentralised bioenergy systems: a review of opportunities</w:t>
      </w:r>
      <w:r w:rsidR="005F10B5" w:rsidRPr="00207B36">
        <w:rPr>
          <w:rFonts w:ascii="Times New Roman" w:hAnsi="Times New Roman" w:cs="Times New Roman"/>
          <w:sz w:val="24"/>
          <w:szCs w:val="24"/>
        </w:rPr>
        <w:t xml:space="preserve"> and threats. Energy Policy 39: </w:t>
      </w:r>
      <w:r w:rsidRPr="00207B36">
        <w:rPr>
          <w:rFonts w:ascii="Times New Roman" w:hAnsi="Times New Roman" w:cs="Times New Roman"/>
          <w:sz w:val="24"/>
          <w:szCs w:val="24"/>
        </w:rPr>
        <w:t xml:space="preserve">1286–1295. </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sz w:val="24"/>
          <w:szCs w:val="24"/>
          <w:lang w:val="en-IE"/>
        </w:rPr>
      </w:pPr>
      <w:r w:rsidRPr="00207B36">
        <w:rPr>
          <w:rFonts w:ascii="Times New Roman" w:hAnsi="Times New Roman" w:cs="Times New Roman"/>
          <w:sz w:val="24"/>
          <w:szCs w:val="24"/>
        </w:rPr>
        <w:t>Markelova, H.; Meinzen-Dick, R.; Hellin, J.; Dohrn, S., (2009). Collective action for smallholder market access. Food Policy 34:</w:t>
      </w:r>
      <w:r w:rsidR="005F10B5" w:rsidRPr="00207B36">
        <w:rPr>
          <w:rFonts w:ascii="Times New Roman" w:hAnsi="Times New Roman" w:cs="Times New Roman"/>
          <w:sz w:val="24"/>
          <w:szCs w:val="24"/>
        </w:rPr>
        <w:t xml:space="preserve"> </w:t>
      </w:r>
      <w:r w:rsidRPr="00207B36">
        <w:rPr>
          <w:rFonts w:ascii="Times New Roman" w:hAnsi="Times New Roman" w:cs="Times New Roman"/>
          <w:sz w:val="24"/>
          <w:szCs w:val="24"/>
        </w:rPr>
        <w:t>1–7.</w:t>
      </w:r>
    </w:p>
    <w:p w:rsidR="00C22635" w:rsidRPr="00207B36" w:rsidRDefault="00C22635" w:rsidP="00207B36">
      <w:pPr>
        <w:spacing w:after="120" w:line="480" w:lineRule="auto"/>
        <w:rPr>
          <w:rFonts w:ascii="Times New Roman" w:hAnsi="Times New Roman" w:cs="Times New Roman"/>
          <w:sz w:val="24"/>
          <w:szCs w:val="24"/>
          <w:lang w:val="en"/>
        </w:rPr>
      </w:pPr>
    </w:p>
    <w:p w:rsidR="00C22635" w:rsidRPr="00207B36" w:rsidRDefault="00C22635" w:rsidP="00207B36">
      <w:pPr>
        <w:spacing w:after="120" w:line="480" w:lineRule="auto"/>
        <w:rPr>
          <w:rFonts w:ascii="Times New Roman" w:hAnsi="Times New Roman" w:cs="Times New Roman"/>
          <w:sz w:val="24"/>
          <w:szCs w:val="24"/>
          <w:lang w:val="en"/>
        </w:rPr>
      </w:pPr>
      <w:r w:rsidRPr="00207B36">
        <w:rPr>
          <w:rFonts w:ascii="Times New Roman" w:hAnsi="Times New Roman" w:cs="Times New Roman"/>
          <w:sz w:val="24"/>
          <w:szCs w:val="24"/>
          <w:lang w:val="en"/>
        </w:rPr>
        <w:t xml:space="preserve">McCormick, K.; Kautto, N., (2013). The Bioeconomy in Europe: An Overview. </w:t>
      </w:r>
      <w:r w:rsidRPr="00207B36">
        <w:rPr>
          <w:rFonts w:ascii="Times New Roman" w:hAnsi="Times New Roman" w:cs="Times New Roman"/>
          <w:iCs/>
          <w:sz w:val="24"/>
          <w:szCs w:val="24"/>
          <w:lang w:val="en"/>
        </w:rPr>
        <w:t>Sustainability</w:t>
      </w:r>
      <w:r w:rsidRPr="00207B36">
        <w:rPr>
          <w:rFonts w:ascii="Times New Roman" w:hAnsi="Times New Roman" w:cs="Times New Roman"/>
          <w:sz w:val="24"/>
          <w:szCs w:val="24"/>
          <w:lang w:val="en"/>
        </w:rPr>
        <w:t xml:space="preserve">, </w:t>
      </w:r>
      <w:r w:rsidRPr="00207B36">
        <w:rPr>
          <w:rFonts w:ascii="Times New Roman" w:hAnsi="Times New Roman" w:cs="Times New Roman"/>
          <w:iCs/>
          <w:sz w:val="24"/>
          <w:szCs w:val="24"/>
          <w:lang w:val="en"/>
        </w:rPr>
        <w:t>5</w:t>
      </w:r>
      <w:r w:rsidR="005F10B5" w:rsidRPr="00207B36">
        <w:rPr>
          <w:rFonts w:ascii="Times New Roman" w:hAnsi="Times New Roman" w:cs="Times New Roman"/>
          <w:sz w:val="24"/>
          <w:szCs w:val="24"/>
          <w:lang w:val="en"/>
        </w:rPr>
        <w:t>:</w:t>
      </w:r>
      <w:r w:rsidRPr="00207B36">
        <w:rPr>
          <w:rFonts w:ascii="Times New Roman" w:hAnsi="Times New Roman" w:cs="Times New Roman"/>
          <w:sz w:val="24"/>
          <w:szCs w:val="24"/>
          <w:lang w:val="en"/>
        </w:rPr>
        <w:t xml:space="preserve"> 2589-2608.</w:t>
      </w:r>
    </w:p>
    <w:p w:rsidR="00C22635" w:rsidRPr="00207B36" w:rsidRDefault="00C22635" w:rsidP="00207B36">
      <w:pPr>
        <w:spacing w:after="120" w:line="480" w:lineRule="auto"/>
        <w:rPr>
          <w:rFonts w:ascii="Times New Roman" w:hAnsi="Times New Roman" w:cs="Times New Roman"/>
          <w:sz w:val="24"/>
          <w:szCs w:val="24"/>
          <w:lang w:val="en"/>
        </w:rPr>
      </w:pPr>
    </w:p>
    <w:p w:rsidR="00C22635" w:rsidRPr="00207B36" w:rsidRDefault="00C22635" w:rsidP="00207B36">
      <w:pPr>
        <w:spacing w:after="120" w:line="480" w:lineRule="auto"/>
        <w:rPr>
          <w:rFonts w:ascii="Times New Roman" w:hAnsi="Times New Roman" w:cs="Times New Roman"/>
          <w:sz w:val="24"/>
          <w:szCs w:val="24"/>
          <w:lang w:val="en"/>
        </w:rPr>
      </w:pPr>
      <w:r w:rsidRPr="00207B36">
        <w:rPr>
          <w:rFonts w:ascii="Times New Roman" w:hAnsi="Times New Roman" w:cs="Times New Roman"/>
          <w:sz w:val="24"/>
          <w:szCs w:val="24"/>
          <w:lang w:val="en"/>
        </w:rPr>
        <w:t>Pietrini, M.; Roes, L.; Patel, M.K.; Chiellini, E., (2007). Co</w:t>
      </w:r>
      <w:r w:rsidR="005F10B5" w:rsidRPr="00207B36">
        <w:rPr>
          <w:rFonts w:ascii="Times New Roman" w:hAnsi="Times New Roman" w:cs="Times New Roman"/>
          <w:sz w:val="24"/>
          <w:szCs w:val="24"/>
          <w:lang w:val="en"/>
        </w:rPr>
        <w:t xml:space="preserve">mparative Life Cycle Studies on </w:t>
      </w:r>
      <w:r w:rsidRPr="00207B36">
        <w:rPr>
          <w:rFonts w:ascii="Times New Roman" w:hAnsi="Times New Roman" w:cs="Times New Roman"/>
          <w:sz w:val="24"/>
          <w:szCs w:val="24"/>
          <w:lang w:val="en"/>
        </w:rPr>
        <w:t>Poly(3-hydroxybutyrate)-Based Composites as Potentia</w:t>
      </w:r>
      <w:r w:rsidR="005F10B5" w:rsidRPr="00207B36">
        <w:rPr>
          <w:rFonts w:ascii="Times New Roman" w:hAnsi="Times New Roman" w:cs="Times New Roman"/>
          <w:sz w:val="24"/>
          <w:szCs w:val="24"/>
          <w:lang w:val="en"/>
        </w:rPr>
        <w:t xml:space="preserve">l Replacement for Conventional </w:t>
      </w:r>
      <w:r w:rsidRPr="00207B36">
        <w:rPr>
          <w:rFonts w:ascii="Times New Roman" w:hAnsi="Times New Roman" w:cs="Times New Roman"/>
          <w:sz w:val="24"/>
          <w:szCs w:val="24"/>
          <w:lang w:val="en"/>
        </w:rPr>
        <w:t>Petrochemical Pla</w:t>
      </w:r>
      <w:r w:rsidR="005F10B5" w:rsidRPr="00207B36">
        <w:rPr>
          <w:rFonts w:ascii="Times New Roman" w:hAnsi="Times New Roman" w:cs="Times New Roman"/>
          <w:sz w:val="24"/>
          <w:szCs w:val="24"/>
          <w:lang w:val="en"/>
        </w:rPr>
        <w:t xml:space="preserve">stics. Biomacromolecules 8: </w:t>
      </w:r>
      <w:r w:rsidRPr="00207B36">
        <w:rPr>
          <w:rFonts w:ascii="Times New Roman" w:hAnsi="Times New Roman" w:cs="Times New Roman"/>
          <w:sz w:val="24"/>
          <w:szCs w:val="24"/>
          <w:lang w:val="en"/>
        </w:rPr>
        <w:t>2210-2218</w:t>
      </w:r>
      <w:r w:rsidR="005F10B5" w:rsidRPr="00207B36">
        <w:rPr>
          <w:rFonts w:ascii="Times New Roman" w:hAnsi="Times New Roman" w:cs="Times New Roman"/>
          <w:sz w:val="24"/>
          <w:szCs w:val="24"/>
          <w:lang w:val="en"/>
        </w:rPr>
        <w:t>.</w:t>
      </w:r>
    </w:p>
    <w:p w:rsidR="00C22635" w:rsidRPr="00207B36" w:rsidRDefault="00C22635" w:rsidP="00207B36">
      <w:pPr>
        <w:spacing w:after="120" w:line="480" w:lineRule="auto"/>
        <w:rPr>
          <w:rFonts w:ascii="Times New Roman" w:hAnsi="Times New Roman" w:cs="Times New Roman"/>
          <w:sz w:val="24"/>
          <w:szCs w:val="24"/>
          <w:lang w:val="en"/>
        </w:rPr>
      </w:pPr>
    </w:p>
    <w:p w:rsidR="00C22635" w:rsidRPr="00207B36" w:rsidRDefault="00C22635" w:rsidP="00207B36">
      <w:pPr>
        <w:spacing w:after="120" w:line="480" w:lineRule="auto"/>
        <w:rPr>
          <w:rFonts w:ascii="Times New Roman" w:hAnsi="Times New Roman" w:cs="Times New Roman"/>
          <w:sz w:val="24"/>
          <w:szCs w:val="24"/>
          <w:lang w:val="en"/>
        </w:rPr>
      </w:pPr>
      <w:r w:rsidRPr="00207B36">
        <w:rPr>
          <w:rFonts w:ascii="Times New Roman" w:hAnsi="Times New Roman" w:cs="Times New Roman"/>
          <w:sz w:val="24"/>
          <w:szCs w:val="24"/>
          <w:lang w:val="en"/>
        </w:rPr>
        <w:t xml:space="preserve">Pfau, S.F.; Hagens, J.E.; Dankbaar, B.; Smits, A.J.M., (2014). Visions of Sustainability in Bioeconomy Research. </w:t>
      </w:r>
      <w:r w:rsidRPr="00207B36">
        <w:rPr>
          <w:rFonts w:ascii="Times New Roman" w:hAnsi="Times New Roman" w:cs="Times New Roman"/>
          <w:iCs/>
          <w:sz w:val="24"/>
          <w:szCs w:val="24"/>
          <w:lang w:val="en"/>
        </w:rPr>
        <w:t>Sustainability</w:t>
      </w:r>
      <w:r w:rsidRPr="00207B36">
        <w:rPr>
          <w:rFonts w:ascii="Times New Roman" w:hAnsi="Times New Roman" w:cs="Times New Roman"/>
          <w:sz w:val="24"/>
          <w:szCs w:val="24"/>
          <w:lang w:val="en"/>
        </w:rPr>
        <w:t xml:space="preserve">, </w:t>
      </w:r>
      <w:r w:rsidRPr="00207B36">
        <w:rPr>
          <w:rFonts w:ascii="Times New Roman" w:hAnsi="Times New Roman" w:cs="Times New Roman"/>
          <w:iCs/>
          <w:sz w:val="24"/>
          <w:szCs w:val="24"/>
          <w:lang w:val="en"/>
        </w:rPr>
        <w:t>6</w:t>
      </w:r>
      <w:r w:rsidR="005F10B5" w:rsidRPr="00207B36">
        <w:rPr>
          <w:rFonts w:ascii="Times New Roman" w:hAnsi="Times New Roman" w:cs="Times New Roman"/>
          <w:sz w:val="24"/>
          <w:szCs w:val="24"/>
          <w:lang w:val="en"/>
        </w:rPr>
        <w:t xml:space="preserve">: </w:t>
      </w:r>
      <w:r w:rsidRPr="00207B36">
        <w:rPr>
          <w:rFonts w:ascii="Times New Roman" w:hAnsi="Times New Roman" w:cs="Times New Roman"/>
          <w:sz w:val="24"/>
          <w:szCs w:val="24"/>
          <w:lang w:val="en"/>
        </w:rPr>
        <w:t>1222-1249.</w:t>
      </w:r>
    </w:p>
    <w:p w:rsidR="00C22635" w:rsidRPr="00207B36" w:rsidRDefault="00C22635" w:rsidP="00207B36">
      <w:pPr>
        <w:spacing w:after="120" w:line="480" w:lineRule="auto"/>
        <w:rPr>
          <w:rFonts w:ascii="Times New Roman" w:hAnsi="Times New Roman" w:cs="Times New Roman"/>
          <w:sz w:val="24"/>
          <w:szCs w:val="24"/>
          <w:lang w:val="en-US"/>
        </w:rPr>
      </w:pPr>
    </w:p>
    <w:p w:rsidR="00C22635" w:rsidRPr="00207B36" w:rsidRDefault="00C22635" w:rsidP="00207B36">
      <w:pPr>
        <w:spacing w:after="120" w:line="480" w:lineRule="auto"/>
        <w:rPr>
          <w:rFonts w:ascii="Times New Roman" w:hAnsi="Times New Roman" w:cs="Times New Roman"/>
          <w:sz w:val="24"/>
          <w:szCs w:val="24"/>
        </w:rPr>
      </w:pPr>
      <w:r w:rsidRPr="00207B36">
        <w:rPr>
          <w:rFonts w:ascii="Times New Roman" w:hAnsi="Times New Roman" w:cs="Times New Roman"/>
          <w:sz w:val="24"/>
          <w:szCs w:val="24"/>
        </w:rPr>
        <w:t>Reddy, K.R., Sadasivam, B.Y.; Adams, J.A. (2014). Social Sustainability Evaluation Matrix (SSEM) to Quantify Social Aspects of Sustainable Remediation. Elsevier.</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sz w:val="24"/>
          <w:szCs w:val="24"/>
        </w:rPr>
      </w:pPr>
      <w:r w:rsidRPr="00207B36">
        <w:rPr>
          <w:rFonts w:ascii="Times New Roman" w:hAnsi="Times New Roman" w:cs="Times New Roman"/>
          <w:sz w:val="24"/>
          <w:szCs w:val="24"/>
        </w:rPr>
        <w:t xml:space="preserve">Renting, H.; Rossing, W.A.H.; Groot, J.C.J.; Van der Ploeg, J.D.; Laurent, C.; Perraud, </w:t>
      </w:r>
      <w:r w:rsidR="005F10B5" w:rsidRPr="00207B36">
        <w:rPr>
          <w:rFonts w:ascii="Times New Roman" w:hAnsi="Times New Roman" w:cs="Times New Roman"/>
          <w:sz w:val="24"/>
          <w:szCs w:val="24"/>
        </w:rPr>
        <w:t xml:space="preserve">D.; </w:t>
      </w:r>
      <w:r w:rsidRPr="00207B36">
        <w:rPr>
          <w:rFonts w:ascii="Times New Roman" w:hAnsi="Times New Roman" w:cs="Times New Roman"/>
          <w:sz w:val="24"/>
          <w:szCs w:val="24"/>
        </w:rPr>
        <w:t xml:space="preserve">Stobbelaar, D.J.; and Van Ittersum M.K., (2009) Exploring multifunctional agriculture. A review of conceptual approaches and prospects for an integrative transitional framework. </w:t>
      </w:r>
      <w:r w:rsidRPr="00207B36">
        <w:rPr>
          <w:rFonts w:ascii="Times New Roman" w:hAnsi="Times New Roman" w:cs="Times New Roman"/>
          <w:iCs/>
          <w:sz w:val="24"/>
          <w:szCs w:val="24"/>
        </w:rPr>
        <w:t>Journal of Environmental Management</w:t>
      </w:r>
      <w:r w:rsidRPr="00207B36">
        <w:rPr>
          <w:rFonts w:ascii="Times New Roman" w:hAnsi="Times New Roman" w:cs="Times New Roman"/>
          <w:sz w:val="24"/>
          <w:szCs w:val="24"/>
        </w:rPr>
        <w:t xml:space="preserve"> 90:</w:t>
      </w:r>
      <w:r w:rsidR="005F10B5" w:rsidRPr="00207B36">
        <w:rPr>
          <w:rFonts w:ascii="Times New Roman" w:hAnsi="Times New Roman" w:cs="Times New Roman"/>
          <w:sz w:val="24"/>
          <w:szCs w:val="24"/>
        </w:rPr>
        <w:t xml:space="preserve"> </w:t>
      </w:r>
      <w:r w:rsidRPr="00207B36">
        <w:rPr>
          <w:rFonts w:ascii="Times New Roman" w:hAnsi="Times New Roman" w:cs="Times New Roman"/>
          <w:sz w:val="24"/>
          <w:szCs w:val="24"/>
        </w:rPr>
        <w:t>112-123.</w:t>
      </w:r>
    </w:p>
    <w:p w:rsidR="00C22635" w:rsidRPr="00207B36" w:rsidRDefault="00C22635" w:rsidP="00207B36">
      <w:pPr>
        <w:spacing w:after="120" w:line="480" w:lineRule="auto"/>
        <w:rPr>
          <w:rFonts w:ascii="Times New Roman" w:hAnsi="Times New Roman" w:cs="Times New Roman"/>
          <w:sz w:val="24"/>
          <w:szCs w:val="24"/>
          <w:lang w:val="en"/>
        </w:rPr>
      </w:pPr>
    </w:p>
    <w:p w:rsidR="00C22635" w:rsidRPr="00207B36" w:rsidRDefault="00C22635" w:rsidP="00207B36">
      <w:pPr>
        <w:spacing w:after="120" w:line="480" w:lineRule="auto"/>
        <w:rPr>
          <w:rFonts w:ascii="Times New Roman" w:hAnsi="Times New Roman" w:cs="Times New Roman"/>
          <w:sz w:val="24"/>
          <w:szCs w:val="24"/>
          <w:lang w:val="en"/>
        </w:rPr>
      </w:pPr>
      <w:r w:rsidRPr="00207B36">
        <w:rPr>
          <w:rFonts w:ascii="Times New Roman" w:hAnsi="Times New Roman" w:cs="Times New Roman"/>
          <w:sz w:val="24"/>
          <w:szCs w:val="24"/>
          <w:lang w:val="en"/>
        </w:rPr>
        <w:t xml:space="preserve">Rosengrant, M.W.; Ringler, C.; Zhu, T.; Tokgoz, S.; Bhandary, P., (2013). Water and food in the bioeconomy: Challenges and opportunities for development 2013. Agricultural Economics 1-12. </w:t>
      </w:r>
    </w:p>
    <w:p w:rsidR="00C22635" w:rsidRPr="00207B36" w:rsidRDefault="00C22635" w:rsidP="00207B36">
      <w:pPr>
        <w:spacing w:after="120" w:line="480" w:lineRule="auto"/>
        <w:rPr>
          <w:rFonts w:ascii="Times New Roman" w:hAnsi="Times New Roman" w:cs="Times New Roman"/>
          <w:sz w:val="24"/>
          <w:szCs w:val="24"/>
          <w:lang w:val="en"/>
        </w:rPr>
      </w:pPr>
    </w:p>
    <w:p w:rsidR="00C22635" w:rsidRPr="00207B36" w:rsidRDefault="00C22635" w:rsidP="00207B36">
      <w:pPr>
        <w:spacing w:after="120" w:line="480" w:lineRule="auto"/>
        <w:rPr>
          <w:rFonts w:ascii="Times New Roman" w:hAnsi="Times New Roman" w:cs="Times New Roman"/>
          <w:sz w:val="24"/>
          <w:szCs w:val="24"/>
          <w:lang w:val="en"/>
        </w:rPr>
      </w:pPr>
      <w:r w:rsidRPr="00207B36">
        <w:rPr>
          <w:rFonts w:ascii="Times New Roman" w:hAnsi="Times New Roman" w:cs="Times New Roman"/>
          <w:sz w:val="24"/>
          <w:szCs w:val="24"/>
        </w:rPr>
        <w:t>Samsatli, S.; Samsatli, N.J.; Shah, N., (2015). BVCM: a comprehensive and flexible toolkit for whole system biomass value chain analysis and optimisation – mathematical</w:t>
      </w:r>
      <w:r w:rsidR="005F10B5" w:rsidRPr="00207B36">
        <w:rPr>
          <w:rFonts w:ascii="Times New Roman" w:hAnsi="Times New Roman" w:cs="Times New Roman"/>
          <w:sz w:val="24"/>
          <w:szCs w:val="24"/>
        </w:rPr>
        <w:t xml:space="preserve"> formulation. Appl. Energy 147: </w:t>
      </w:r>
      <w:r w:rsidRPr="00207B36">
        <w:rPr>
          <w:rFonts w:ascii="Times New Roman" w:hAnsi="Times New Roman" w:cs="Times New Roman"/>
          <w:sz w:val="24"/>
          <w:szCs w:val="24"/>
        </w:rPr>
        <w:t>131–160.</w:t>
      </w:r>
    </w:p>
    <w:p w:rsidR="00C22635" w:rsidRPr="00207B36" w:rsidRDefault="00C22635" w:rsidP="00207B36">
      <w:pPr>
        <w:spacing w:after="120" w:line="480" w:lineRule="auto"/>
        <w:rPr>
          <w:rFonts w:ascii="Times New Roman" w:hAnsi="Times New Roman" w:cs="Times New Roman"/>
          <w:sz w:val="24"/>
          <w:szCs w:val="24"/>
          <w:lang w:val="en"/>
        </w:rPr>
      </w:pPr>
    </w:p>
    <w:p w:rsidR="00C22635" w:rsidRPr="00207B36" w:rsidRDefault="00C22635" w:rsidP="00207B36">
      <w:pPr>
        <w:spacing w:after="120" w:line="480" w:lineRule="auto"/>
        <w:rPr>
          <w:rFonts w:ascii="Times New Roman" w:hAnsi="Times New Roman" w:cs="Times New Roman"/>
          <w:iCs/>
          <w:sz w:val="24"/>
          <w:szCs w:val="24"/>
          <w:lang w:val="en"/>
        </w:rPr>
      </w:pPr>
      <w:r w:rsidRPr="00207B36">
        <w:rPr>
          <w:rFonts w:ascii="Times New Roman" w:hAnsi="Times New Roman" w:cs="Times New Roman"/>
          <w:sz w:val="24"/>
          <w:szCs w:val="24"/>
          <w:lang w:val="en"/>
        </w:rPr>
        <w:t>Shultz, S.D.; Leitch, J.A., (</w:t>
      </w:r>
      <w:r w:rsidRPr="00207B36">
        <w:rPr>
          <w:rFonts w:ascii="Times New Roman" w:hAnsi="Times New Roman" w:cs="Times New Roman"/>
          <w:iCs/>
          <w:sz w:val="24"/>
          <w:szCs w:val="24"/>
          <w:lang w:val="en"/>
        </w:rPr>
        <w:t>2003). The feasibility of restoring previously drained wetlands to reduce flood damage. Journal of Soil and Water Conservation. 58: 21-29.</w:t>
      </w:r>
    </w:p>
    <w:p w:rsidR="00C22635" w:rsidRPr="00207B36" w:rsidRDefault="00C22635" w:rsidP="00207B36">
      <w:pPr>
        <w:spacing w:after="120" w:line="480" w:lineRule="auto"/>
        <w:rPr>
          <w:rFonts w:ascii="Times New Roman" w:hAnsi="Times New Roman" w:cs="Times New Roman"/>
          <w:iCs/>
          <w:sz w:val="24"/>
          <w:szCs w:val="24"/>
          <w:lang w:val="en"/>
        </w:rPr>
      </w:pPr>
    </w:p>
    <w:p w:rsidR="00C22635" w:rsidRPr="00207B36" w:rsidRDefault="00C22635" w:rsidP="00207B36">
      <w:pPr>
        <w:spacing w:after="120" w:line="480" w:lineRule="auto"/>
        <w:rPr>
          <w:rFonts w:ascii="Times New Roman" w:hAnsi="Times New Roman" w:cs="Times New Roman"/>
          <w:iCs/>
          <w:sz w:val="24"/>
          <w:szCs w:val="24"/>
          <w:lang w:val="en-US"/>
        </w:rPr>
      </w:pPr>
      <w:r w:rsidRPr="00207B36">
        <w:rPr>
          <w:rFonts w:ascii="Times New Roman" w:hAnsi="Times New Roman" w:cs="Times New Roman"/>
          <w:iCs/>
          <w:sz w:val="24"/>
          <w:szCs w:val="24"/>
        </w:rPr>
        <w:t>Sikorska-Wolak, I., (2006). Tourism as a Chance for Rural Development. Department of Human Sciences, Warsaw Agricultural University, Poland.</w:t>
      </w:r>
    </w:p>
    <w:p w:rsidR="00B572BF" w:rsidRPr="00207B36" w:rsidRDefault="00B572BF" w:rsidP="00207B36">
      <w:pPr>
        <w:spacing w:after="120" w:line="480" w:lineRule="auto"/>
        <w:rPr>
          <w:rFonts w:ascii="Times New Roman" w:hAnsi="Times New Roman" w:cs="Times New Roman"/>
          <w:iCs/>
          <w:sz w:val="24"/>
          <w:szCs w:val="24"/>
          <w:lang w:val="en-US"/>
        </w:rPr>
      </w:pPr>
    </w:p>
    <w:p w:rsidR="00C22635" w:rsidRPr="00207B36" w:rsidRDefault="00C22635" w:rsidP="00207B36">
      <w:pPr>
        <w:spacing w:after="120" w:line="480" w:lineRule="auto"/>
        <w:rPr>
          <w:rFonts w:ascii="Times New Roman" w:hAnsi="Times New Roman" w:cs="Times New Roman"/>
          <w:iCs/>
          <w:sz w:val="24"/>
          <w:szCs w:val="24"/>
          <w:lang w:val="en-US"/>
        </w:rPr>
      </w:pPr>
      <w:r w:rsidRPr="00207B36">
        <w:rPr>
          <w:rFonts w:ascii="Times New Roman" w:hAnsi="Times New Roman" w:cs="Times New Roman"/>
          <w:iCs/>
          <w:sz w:val="24"/>
          <w:szCs w:val="24"/>
        </w:rPr>
        <w:lastRenderedPageBreak/>
        <w:t>Stobbelaar; Jan</w:t>
      </w:r>
      <w:r w:rsidR="005F10B5" w:rsidRPr="00207B36">
        <w:rPr>
          <w:rFonts w:ascii="Times New Roman" w:hAnsi="Times New Roman" w:cs="Times New Roman"/>
          <w:iCs/>
          <w:sz w:val="24"/>
          <w:szCs w:val="24"/>
        </w:rPr>
        <w:t xml:space="preserve"> D.; Groot, J.C.J; Bishop, C.; </w:t>
      </w:r>
      <w:r w:rsidRPr="00207B36">
        <w:rPr>
          <w:rFonts w:ascii="Times New Roman" w:hAnsi="Times New Roman" w:cs="Times New Roman"/>
          <w:iCs/>
          <w:sz w:val="24"/>
          <w:szCs w:val="24"/>
        </w:rPr>
        <w:t>Hall; J.; Pretty, J., (2009). Internalization of agri-environmental policies and the role of institutions. Journal of Environmental Management 90:</w:t>
      </w:r>
      <w:r w:rsidR="005F10B5" w:rsidRPr="00207B36">
        <w:rPr>
          <w:rFonts w:ascii="Times New Roman" w:hAnsi="Times New Roman" w:cs="Times New Roman"/>
          <w:iCs/>
          <w:sz w:val="24"/>
          <w:szCs w:val="24"/>
        </w:rPr>
        <w:t xml:space="preserve"> </w:t>
      </w:r>
      <w:r w:rsidRPr="00207B36">
        <w:rPr>
          <w:rFonts w:ascii="Times New Roman" w:hAnsi="Times New Roman" w:cs="Times New Roman"/>
          <w:iCs/>
          <w:sz w:val="24"/>
          <w:szCs w:val="24"/>
        </w:rPr>
        <w:t>175-184.</w:t>
      </w:r>
    </w:p>
    <w:p w:rsidR="00C22635" w:rsidRPr="00207B36" w:rsidRDefault="00C22635" w:rsidP="00207B36">
      <w:pPr>
        <w:spacing w:after="120" w:line="480" w:lineRule="auto"/>
        <w:rPr>
          <w:rFonts w:ascii="Times New Roman" w:hAnsi="Times New Roman" w:cs="Times New Roman"/>
          <w:sz w:val="24"/>
          <w:szCs w:val="24"/>
          <w:lang w:val="en"/>
        </w:rPr>
      </w:pPr>
    </w:p>
    <w:p w:rsidR="00C22635" w:rsidRPr="00207B36" w:rsidRDefault="00C22635" w:rsidP="00207B36">
      <w:pPr>
        <w:spacing w:after="120" w:line="480" w:lineRule="auto"/>
        <w:rPr>
          <w:rFonts w:ascii="Times New Roman" w:hAnsi="Times New Roman" w:cs="Times New Roman"/>
          <w:iCs/>
          <w:sz w:val="24"/>
          <w:szCs w:val="24"/>
          <w:lang w:val="en"/>
        </w:rPr>
      </w:pPr>
      <w:r w:rsidRPr="00207B36">
        <w:rPr>
          <w:rFonts w:ascii="Times New Roman" w:hAnsi="Times New Roman" w:cs="Times New Roman"/>
          <w:sz w:val="24"/>
          <w:szCs w:val="24"/>
          <w:lang w:val="en"/>
        </w:rPr>
        <w:t>[USACE] US Army Corps of Engineers (</w:t>
      </w:r>
      <w:r w:rsidRPr="00207B36">
        <w:rPr>
          <w:rFonts w:ascii="Times New Roman" w:hAnsi="Times New Roman" w:cs="Times New Roman"/>
          <w:iCs/>
          <w:sz w:val="24"/>
          <w:szCs w:val="24"/>
          <w:lang w:val="en"/>
        </w:rPr>
        <w:t>1995). Floodplain Management Assessment of the Upper Mississippi River and Lower Missouri Rivers and Tributaries, vol. 6. Washington (DC): USACE.</w:t>
      </w:r>
    </w:p>
    <w:p w:rsidR="00C22635" w:rsidRPr="00207B36" w:rsidRDefault="00C22635" w:rsidP="00207B36">
      <w:pPr>
        <w:spacing w:after="120" w:line="480" w:lineRule="auto"/>
        <w:rPr>
          <w:rFonts w:ascii="Times New Roman" w:hAnsi="Times New Roman" w:cs="Times New Roman"/>
          <w:iCs/>
          <w:sz w:val="24"/>
          <w:szCs w:val="24"/>
          <w:lang w:val="en"/>
        </w:rPr>
      </w:pPr>
    </w:p>
    <w:p w:rsidR="00C22635" w:rsidRPr="00207B36" w:rsidRDefault="00C22635" w:rsidP="00207B36">
      <w:pPr>
        <w:spacing w:after="120" w:line="480" w:lineRule="auto"/>
        <w:rPr>
          <w:rFonts w:ascii="Times New Roman" w:hAnsi="Times New Roman" w:cs="Times New Roman"/>
          <w:sz w:val="24"/>
          <w:szCs w:val="24"/>
          <w:lang w:val="en"/>
        </w:rPr>
      </w:pPr>
      <w:r w:rsidRPr="00207B36">
        <w:rPr>
          <w:rFonts w:ascii="Times New Roman" w:hAnsi="Times New Roman" w:cs="Times New Roman"/>
          <w:sz w:val="24"/>
          <w:szCs w:val="24"/>
          <w:lang w:val="en"/>
        </w:rPr>
        <w:t xml:space="preserve">USEPA (United States Environmental Protection </w:t>
      </w:r>
      <w:r w:rsidR="005F10B5" w:rsidRPr="00207B36">
        <w:rPr>
          <w:rFonts w:ascii="Times New Roman" w:hAnsi="Times New Roman" w:cs="Times New Roman"/>
          <w:sz w:val="24"/>
          <w:szCs w:val="24"/>
          <w:lang w:val="en"/>
        </w:rPr>
        <w:t xml:space="preserve">Agency) (2012). A Framework for </w:t>
      </w:r>
      <w:r w:rsidRPr="00207B36">
        <w:rPr>
          <w:rFonts w:ascii="Times New Roman" w:hAnsi="Times New Roman" w:cs="Times New Roman"/>
          <w:sz w:val="24"/>
          <w:szCs w:val="24"/>
          <w:lang w:val="en"/>
        </w:rPr>
        <w:t>Sustainability Indicators at EPA. National Risk Management Research Laboratory, Office of Research and Development, Washington, D.C.</w:t>
      </w:r>
    </w:p>
    <w:p w:rsidR="00C22635" w:rsidRPr="00207B36" w:rsidRDefault="00C22635" w:rsidP="00207B36">
      <w:pPr>
        <w:spacing w:after="120" w:line="480" w:lineRule="auto"/>
        <w:rPr>
          <w:rFonts w:ascii="Times New Roman" w:hAnsi="Times New Roman" w:cs="Times New Roman"/>
          <w:sz w:val="24"/>
          <w:szCs w:val="24"/>
          <w:lang w:val="en"/>
        </w:rPr>
      </w:pPr>
    </w:p>
    <w:p w:rsidR="00C22635" w:rsidRPr="00207B36" w:rsidRDefault="00C22635" w:rsidP="00207B36">
      <w:pPr>
        <w:spacing w:after="120" w:line="480" w:lineRule="auto"/>
        <w:rPr>
          <w:rFonts w:ascii="Times New Roman" w:hAnsi="Times New Roman" w:cs="Times New Roman"/>
          <w:sz w:val="24"/>
          <w:szCs w:val="24"/>
          <w:lang w:val="en-US"/>
        </w:rPr>
      </w:pPr>
      <w:r w:rsidRPr="00207B36">
        <w:rPr>
          <w:rFonts w:ascii="Times New Roman" w:hAnsi="Times New Roman" w:cs="Times New Roman"/>
          <w:sz w:val="24"/>
          <w:szCs w:val="24"/>
        </w:rPr>
        <w:t>Wicke, B.; van der Hilst, F.; Daioglou, V.; Banse, M.; Beringer, T.; Gerssen-Gondelach, S.; Heijnen, S.; Karssenberg, D.; Laborde, D.; Lippe, M.; van Meijl, H.; Nassar, A.; Powell, J.; Prins, A.G.; Rose, S.N.K.; Smeets, E.M.W.; Stehfest, E.; Tyner, W.E.; Verstegen, J.A.; Valin, H.; van Vuuren, D.P.; Yeh, S.; Faai, A.P.C., (2015). Model collaboration for the improved assessment of biomass supply, demand, a</w:t>
      </w:r>
      <w:r w:rsidR="005F10B5" w:rsidRPr="00207B36">
        <w:rPr>
          <w:rFonts w:ascii="Times New Roman" w:hAnsi="Times New Roman" w:cs="Times New Roman"/>
          <w:sz w:val="24"/>
          <w:szCs w:val="24"/>
        </w:rPr>
        <w:t>nd impacts. GCB Bioenergy 7:</w:t>
      </w:r>
      <w:r w:rsidRPr="00207B36">
        <w:rPr>
          <w:rFonts w:ascii="Times New Roman" w:hAnsi="Times New Roman" w:cs="Times New Roman"/>
          <w:sz w:val="24"/>
          <w:szCs w:val="24"/>
        </w:rPr>
        <w:t xml:space="preserve"> 422–437.</w:t>
      </w:r>
    </w:p>
    <w:p w:rsidR="00C22635" w:rsidRPr="00207B36" w:rsidRDefault="00C22635" w:rsidP="00207B36">
      <w:pPr>
        <w:spacing w:after="120" w:line="480" w:lineRule="auto"/>
        <w:rPr>
          <w:rFonts w:ascii="Times New Roman" w:hAnsi="Times New Roman" w:cs="Times New Roman"/>
          <w:sz w:val="24"/>
          <w:szCs w:val="24"/>
          <w:lang w:val="en"/>
        </w:rPr>
      </w:pPr>
    </w:p>
    <w:p w:rsidR="00C22635" w:rsidRPr="00207B36" w:rsidRDefault="00C22635" w:rsidP="00207B36">
      <w:pPr>
        <w:spacing w:after="120" w:line="480" w:lineRule="auto"/>
        <w:rPr>
          <w:rFonts w:ascii="Times New Roman" w:hAnsi="Times New Roman" w:cs="Times New Roman"/>
          <w:sz w:val="24"/>
          <w:szCs w:val="24"/>
          <w:lang w:val="en-US"/>
        </w:rPr>
      </w:pPr>
      <w:r w:rsidRPr="00207B36">
        <w:rPr>
          <w:rFonts w:ascii="Times New Roman" w:hAnsi="Times New Roman" w:cs="Times New Roman"/>
          <w:sz w:val="24"/>
          <w:szCs w:val="24"/>
        </w:rPr>
        <w:t xml:space="preserve">Yengoh, G. T. &amp; Ardö, J., (2014). Crop Yield Gaps in Cameroon. </w:t>
      </w:r>
      <w:r w:rsidRPr="00207B36">
        <w:rPr>
          <w:rFonts w:ascii="Times New Roman" w:hAnsi="Times New Roman" w:cs="Times New Roman"/>
          <w:iCs/>
          <w:sz w:val="24"/>
          <w:szCs w:val="24"/>
        </w:rPr>
        <w:t>Ambio</w:t>
      </w:r>
      <w:r w:rsidRPr="00207B36">
        <w:rPr>
          <w:rFonts w:ascii="Times New Roman" w:hAnsi="Times New Roman" w:cs="Times New Roman"/>
          <w:sz w:val="24"/>
          <w:szCs w:val="24"/>
        </w:rPr>
        <w:t xml:space="preserve">, </w:t>
      </w:r>
      <w:r w:rsidRPr="00207B36">
        <w:rPr>
          <w:rFonts w:ascii="Times New Roman" w:hAnsi="Times New Roman" w:cs="Times New Roman"/>
          <w:iCs/>
          <w:sz w:val="24"/>
          <w:szCs w:val="24"/>
        </w:rPr>
        <w:t>43</w:t>
      </w:r>
      <w:r w:rsidR="005F10B5" w:rsidRPr="00207B36">
        <w:rPr>
          <w:rFonts w:ascii="Times New Roman" w:hAnsi="Times New Roman" w:cs="Times New Roman"/>
          <w:sz w:val="24"/>
          <w:szCs w:val="24"/>
        </w:rPr>
        <w:t xml:space="preserve">: </w:t>
      </w:r>
      <w:r w:rsidRPr="00207B36">
        <w:rPr>
          <w:rFonts w:ascii="Times New Roman" w:hAnsi="Times New Roman" w:cs="Times New Roman"/>
          <w:sz w:val="24"/>
          <w:szCs w:val="24"/>
        </w:rPr>
        <w:t xml:space="preserve">175–190. </w:t>
      </w:r>
    </w:p>
    <w:p w:rsidR="00C22635" w:rsidRPr="00207B36" w:rsidRDefault="00C22635" w:rsidP="00207B36">
      <w:pPr>
        <w:spacing w:after="120" w:line="480" w:lineRule="auto"/>
        <w:rPr>
          <w:rFonts w:ascii="Times New Roman" w:hAnsi="Times New Roman" w:cs="Times New Roman"/>
          <w:sz w:val="24"/>
          <w:szCs w:val="24"/>
        </w:rPr>
      </w:pPr>
    </w:p>
    <w:p w:rsidR="00C22635" w:rsidRPr="00207B36" w:rsidRDefault="00C22635" w:rsidP="00207B36">
      <w:pPr>
        <w:spacing w:after="120" w:line="480" w:lineRule="auto"/>
        <w:rPr>
          <w:rFonts w:ascii="Times New Roman" w:hAnsi="Times New Roman" w:cs="Times New Roman"/>
          <w:sz w:val="24"/>
          <w:szCs w:val="24"/>
          <w:lang w:val="en"/>
        </w:rPr>
      </w:pPr>
      <w:r w:rsidRPr="00207B36">
        <w:rPr>
          <w:rFonts w:ascii="Times New Roman" w:hAnsi="Times New Roman" w:cs="Times New Roman"/>
          <w:sz w:val="24"/>
          <w:szCs w:val="24"/>
          <w:lang w:val="en"/>
        </w:rPr>
        <w:t>Yin, R.K., (2009). Case Study Research: design and methods (4th edition).</w:t>
      </w:r>
    </w:p>
    <w:p w:rsidR="00C22635" w:rsidRPr="00207B36" w:rsidRDefault="00C22635" w:rsidP="00207B36">
      <w:pPr>
        <w:spacing w:after="120" w:line="480" w:lineRule="auto"/>
        <w:rPr>
          <w:rFonts w:ascii="Times New Roman" w:hAnsi="Times New Roman" w:cs="Times New Roman"/>
          <w:sz w:val="24"/>
          <w:szCs w:val="24"/>
          <w:lang w:val="en"/>
        </w:rPr>
      </w:pPr>
    </w:p>
    <w:p w:rsidR="00C22635" w:rsidRPr="00207B36" w:rsidRDefault="00C22635" w:rsidP="00207B36">
      <w:pPr>
        <w:spacing w:after="120" w:line="480" w:lineRule="auto"/>
        <w:rPr>
          <w:rFonts w:ascii="Times New Roman" w:hAnsi="Times New Roman" w:cs="Times New Roman"/>
          <w:sz w:val="24"/>
          <w:szCs w:val="24"/>
          <w:lang w:val="en"/>
        </w:rPr>
      </w:pPr>
      <w:r w:rsidRPr="00207B36">
        <w:rPr>
          <w:rFonts w:ascii="Times New Roman" w:hAnsi="Times New Roman" w:cs="Times New Roman"/>
          <w:sz w:val="24"/>
          <w:szCs w:val="24"/>
          <w:lang w:val="en"/>
        </w:rPr>
        <w:lastRenderedPageBreak/>
        <w:t>Zhuang, K.H.; Herrgard, M.J., (2015) Multi-scale exploration of the technical, economic, and environmental Dimensions of bio-based chemical production. Metabolic Engineering 31</w:t>
      </w:r>
      <w:r w:rsidR="005F10B5" w:rsidRPr="00207B36">
        <w:rPr>
          <w:rFonts w:ascii="Times New Roman" w:hAnsi="Times New Roman" w:cs="Times New Roman"/>
          <w:sz w:val="24"/>
          <w:szCs w:val="24"/>
          <w:lang w:val="en"/>
        </w:rPr>
        <w:t>:</w:t>
      </w:r>
      <w:r w:rsidRPr="00207B36">
        <w:rPr>
          <w:rFonts w:ascii="Times New Roman" w:hAnsi="Times New Roman" w:cs="Times New Roman"/>
          <w:sz w:val="24"/>
          <w:szCs w:val="24"/>
          <w:lang w:val="en"/>
        </w:rPr>
        <w:t xml:space="preserve"> 1–12.</w:t>
      </w:r>
    </w:p>
    <w:p w:rsidR="00C22635" w:rsidRPr="00207B36" w:rsidRDefault="00C22635" w:rsidP="005F10B5">
      <w:pPr>
        <w:spacing w:after="120" w:line="240" w:lineRule="auto"/>
        <w:rPr>
          <w:rFonts w:ascii="Times New Roman" w:hAnsi="Times New Roman" w:cs="Times New Roman"/>
          <w:sz w:val="24"/>
          <w:szCs w:val="24"/>
          <w:lang w:val="en"/>
        </w:rPr>
      </w:pPr>
    </w:p>
    <w:p w:rsidR="002E25A6" w:rsidRPr="00207B36" w:rsidRDefault="002E25A6" w:rsidP="00207B36">
      <w:pPr>
        <w:spacing w:after="120" w:line="480" w:lineRule="auto"/>
        <w:rPr>
          <w:rFonts w:ascii="Times New Roman" w:hAnsi="Times New Roman" w:cs="Times New Roman"/>
          <w:sz w:val="24"/>
          <w:szCs w:val="24"/>
        </w:rPr>
      </w:pPr>
    </w:p>
    <w:sectPr w:rsidR="002E25A6" w:rsidRPr="00207B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A00" w:rsidRDefault="001B4A00" w:rsidP="00E80246">
      <w:pPr>
        <w:spacing w:after="0" w:line="240" w:lineRule="auto"/>
      </w:pPr>
      <w:r>
        <w:separator/>
      </w:r>
    </w:p>
  </w:endnote>
  <w:endnote w:type="continuationSeparator" w:id="0">
    <w:p w:rsidR="001B4A00" w:rsidRDefault="001B4A00" w:rsidP="00E80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E7A" w:rsidRDefault="00524E7A">
    <w:pPr>
      <w:pStyle w:val="Footer"/>
    </w:pPr>
  </w:p>
  <w:p w:rsidR="00524E7A" w:rsidRDefault="00524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A00" w:rsidRDefault="001B4A00" w:rsidP="00E80246">
      <w:pPr>
        <w:spacing w:after="0" w:line="240" w:lineRule="auto"/>
      </w:pPr>
      <w:r>
        <w:separator/>
      </w:r>
    </w:p>
  </w:footnote>
  <w:footnote w:type="continuationSeparator" w:id="0">
    <w:p w:rsidR="001B4A00" w:rsidRDefault="001B4A00" w:rsidP="00E802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7F31"/>
    <w:multiLevelType w:val="singleLevel"/>
    <w:tmpl w:val="31A4063B"/>
    <w:lvl w:ilvl="0">
      <w:numFmt w:val="bullet"/>
      <w:lvlText w:val="·"/>
      <w:lvlJc w:val="left"/>
      <w:pPr>
        <w:tabs>
          <w:tab w:val="num" w:pos="432"/>
        </w:tabs>
        <w:ind w:left="576" w:hanging="432"/>
      </w:pPr>
      <w:rPr>
        <w:rFonts w:ascii="Symbol" w:hAnsi="Symbol" w:cs="Symbol"/>
        <w:snapToGrid/>
        <w:spacing w:val="-7"/>
        <w:sz w:val="20"/>
        <w:szCs w:val="20"/>
      </w:rPr>
    </w:lvl>
  </w:abstractNum>
  <w:abstractNum w:abstractNumId="1" w15:restartNumberingAfterBreak="0">
    <w:nsid w:val="0A7672CF"/>
    <w:multiLevelType w:val="hybridMultilevel"/>
    <w:tmpl w:val="65944F08"/>
    <w:lvl w:ilvl="0" w:tplc="9B72035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785107"/>
    <w:multiLevelType w:val="hybridMultilevel"/>
    <w:tmpl w:val="82240ACE"/>
    <w:lvl w:ilvl="0" w:tplc="9B72035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A2D2E63"/>
    <w:multiLevelType w:val="hybridMultilevel"/>
    <w:tmpl w:val="7388B86A"/>
    <w:lvl w:ilvl="0" w:tplc="08090001">
      <w:start w:val="1"/>
      <w:numFmt w:val="bullet"/>
      <w:lvlText w:val=""/>
      <w:lvlJc w:val="left"/>
      <w:pPr>
        <w:ind w:left="720" w:hanging="360"/>
      </w:pPr>
      <w:rPr>
        <w:rFonts w:ascii="Symbol" w:hAnsi="Symbol" w:hint="default"/>
      </w:rPr>
    </w:lvl>
    <w:lvl w:ilvl="1" w:tplc="5956CE74">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670595"/>
    <w:multiLevelType w:val="hybridMultilevel"/>
    <w:tmpl w:val="8AE85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5A4F76"/>
    <w:multiLevelType w:val="hybridMultilevel"/>
    <w:tmpl w:val="74902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E1420D4"/>
    <w:multiLevelType w:val="hybridMultilevel"/>
    <w:tmpl w:val="9446C0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1339CE"/>
    <w:multiLevelType w:val="hybridMultilevel"/>
    <w:tmpl w:val="32287C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6109DF"/>
    <w:multiLevelType w:val="hybridMultilevel"/>
    <w:tmpl w:val="B6B6D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3B191E"/>
    <w:multiLevelType w:val="hybridMultilevel"/>
    <w:tmpl w:val="8FE0F856"/>
    <w:lvl w:ilvl="0" w:tplc="9B7203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EE1FC2"/>
    <w:multiLevelType w:val="hybridMultilevel"/>
    <w:tmpl w:val="1340C9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5419B6"/>
    <w:multiLevelType w:val="hybridMultilevel"/>
    <w:tmpl w:val="784A1864"/>
    <w:lvl w:ilvl="0" w:tplc="9B72035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4CC2CB5"/>
    <w:multiLevelType w:val="hybridMultilevel"/>
    <w:tmpl w:val="BCBC14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83E5F12"/>
    <w:multiLevelType w:val="hybridMultilevel"/>
    <w:tmpl w:val="0484A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FC5296"/>
    <w:multiLevelType w:val="hybridMultilevel"/>
    <w:tmpl w:val="1CC07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F655A3"/>
    <w:multiLevelType w:val="hybridMultilevel"/>
    <w:tmpl w:val="4D24D608"/>
    <w:lvl w:ilvl="0" w:tplc="9B7203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3B4534"/>
    <w:multiLevelType w:val="hybridMultilevel"/>
    <w:tmpl w:val="B0BA7A16"/>
    <w:lvl w:ilvl="0" w:tplc="9B7203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D1442E"/>
    <w:multiLevelType w:val="hybridMultilevel"/>
    <w:tmpl w:val="B2C23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13"/>
  </w:num>
  <w:num w:numId="6">
    <w:abstractNumId w:val="0"/>
  </w:num>
  <w:num w:numId="7">
    <w:abstractNumId w:val="0"/>
    <w:lvlOverride w:ilvl="0">
      <w:lvl w:ilvl="0">
        <w:numFmt w:val="bullet"/>
        <w:lvlText w:val="·"/>
        <w:lvlJc w:val="left"/>
        <w:pPr>
          <w:tabs>
            <w:tab w:val="num" w:pos="432"/>
          </w:tabs>
          <w:ind w:left="468"/>
        </w:pPr>
        <w:rPr>
          <w:rFonts w:ascii="Symbol" w:hAnsi="Symbol" w:cs="Symbol"/>
          <w:snapToGrid/>
          <w:color w:val="221E1F"/>
          <w:spacing w:val="2"/>
          <w:w w:val="105"/>
          <w:sz w:val="20"/>
          <w:szCs w:val="20"/>
        </w:rPr>
      </w:lvl>
    </w:lvlOverride>
  </w:num>
  <w:num w:numId="8">
    <w:abstractNumId w:val="0"/>
    <w:lvlOverride w:ilvl="0">
      <w:lvl w:ilvl="0">
        <w:numFmt w:val="bullet"/>
        <w:lvlText w:val="·"/>
        <w:lvlJc w:val="left"/>
        <w:pPr>
          <w:tabs>
            <w:tab w:val="num" w:pos="432"/>
          </w:tabs>
          <w:ind w:left="864" w:hanging="432"/>
        </w:pPr>
        <w:rPr>
          <w:rFonts w:ascii="Symbol" w:hAnsi="Symbol" w:cs="Symbol"/>
          <w:b/>
          <w:bCs/>
          <w:snapToGrid/>
          <w:spacing w:val="-2"/>
          <w:w w:val="105"/>
          <w:sz w:val="20"/>
          <w:szCs w:val="20"/>
        </w:rPr>
      </w:lvl>
    </w:lvlOverride>
  </w:num>
  <w:num w:numId="9">
    <w:abstractNumId w:val="8"/>
  </w:num>
  <w:num w:numId="10">
    <w:abstractNumId w:val="10"/>
  </w:num>
  <w:num w:numId="11">
    <w:abstractNumId w:val="17"/>
  </w:num>
  <w:num w:numId="12">
    <w:abstractNumId w:val="6"/>
  </w:num>
  <w:num w:numId="13">
    <w:abstractNumId w:val="7"/>
  </w:num>
  <w:num w:numId="14">
    <w:abstractNumId w:val="14"/>
  </w:num>
  <w:num w:numId="15">
    <w:abstractNumId w:val="16"/>
  </w:num>
  <w:num w:numId="16">
    <w:abstractNumId w:val="2"/>
  </w:num>
  <w:num w:numId="17">
    <w:abstractNumId w:val="1"/>
  </w:num>
  <w:num w:numId="18">
    <w:abstractNumId w:val="15"/>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29C"/>
    <w:rsid w:val="00001422"/>
    <w:rsid w:val="00010D0A"/>
    <w:rsid w:val="00015C6B"/>
    <w:rsid w:val="00026395"/>
    <w:rsid w:val="000279D0"/>
    <w:rsid w:val="00032934"/>
    <w:rsid w:val="00033D3E"/>
    <w:rsid w:val="00047211"/>
    <w:rsid w:val="0005346E"/>
    <w:rsid w:val="0006238A"/>
    <w:rsid w:val="0006660B"/>
    <w:rsid w:val="00092D70"/>
    <w:rsid w:val="000B5B05"/>
    <w:rsid w:val="000D7441"/>
    <w:rsid w:val="00103FB2"/>
    <w:rsid w:val="00104DD8"/>
    <w:rsid w:val="001579E5"/>
    <w:rsid w:val="00181562"/>
    <w:rsid w:val="001A33CA"/>
    <w:rsid w:val="001B4A00"/>
    <w:rsid w:val="001B5141"/>
    <w:rsid w:val="001B6D79"/>
    <w:rsid w:val="001B7D56"/>
    <w:rsid w:val="001C610D"/>
    <w:rsid w:val="001D0E74"/>
    <w:rsid w:val="001E179F"/>
    <w:rsid w:val="001E30F9"/>
    <w:rsid w:val="001F199F"/>
    <w:rsid w:val="001F6605"/>
    <w:rsid w:val="00204B84"/>
    <w:rsid w:val="00207B36"/>
    <w:rsid w:val="00211A87"/>
    <w:rsid w:val="002244D0"/>
    <w:rsid w:val="00227020"/>
    <w:rsid w:val="00264FCD"/>
    <w:rsid w:val="00293368"/>
    <w:rsid w:val="002A5D2F"/>
    <w:rsid w:val="002B4A53"/>
    <w:rsid w:val="002E25A6"/>
    <w:rsid w:val="00320376"/>
    <w:rsid w:val="003210BA"/>
    <w:rsid w:val="00321FE1"/>
    <w:rsid w:val="003255BE"/>
    <w:rsid w:val="00326769"/>
    <w:rsid w:val="00341A96"/>
    <w:rsid w:val="0034428B"/>
    <w:rsid w:val="0035227D"/>
    <w:rsid w:val="00363EA1"/>
    <w:rsid w:val="00376912"/>
    <w:rsid w:val="0039629A"/>
    <w:rsid w:val="003B4D14"/>
    <w:rsid w:val="003C3FAD"/>
    <w:rsid w:val="003C5E54"/>
    <w:rsid w:val="003C6C57"/>
    <w:rsid w:val="00415E62"/>
    <w:rsid w:val="00421D61"/>
    <w:rsid w:val="00425C71"/>
    <w:rsid w:val="00427746"/>
    <w:rsid w:val="00427B87"/>
    <w:rsid w:val="00432551"/>
    <w:rsid w:val="004327DE"/>
    <w:rsid w:val="004374D6"/>
    <w:rsid w:val="0044026B"/>
    <w:rsid w:val="0044740F"/>
    <w:rsid w:val="004540D0"/>
    <w:rsid w:val="00455117"/>
    <w:rsid w:val="0046471D"/>
    <w:rsid w:val="00473355"/>
    <w:rsid w:val="004947F6"/>
    <w:rsid w:val="004A0EBF"/>
    <w:rsid w:val="004C1733"/>
    <w:rsid w:val="004D1C62"/>
    <w:rsid w:val="004F3B08"/>
    <w:rsid w:val="005036C1"/>
    <w:rsid w:val="00524E7A"/>
    <w:rsid w:val="00555F48"/>
    <w:rsid w:val="00577DFB"/>
    <w:rsid w:val="005A2AA2"/>
    <w:rsid w:val="005E02FB"/>
    <w:rsid w:val="005E27FF"/>
    <w:rsid w:val="005E3533"/>
    <w:rsid w:val="005F10B5"/>
    <w:rsid w:val="006035E5"/>
    <w:rsid w:val="0060377F"/>
    <w:rsid w:val="00606145"/>
    <w:rsid w:val="00606DCB"/>
    <w:rsid w:val="00611127"/>
    <w:rsid w:val="0061452D"/>
    <w:rsid w:val="00624AF7"/>
    <w:rsid w:val="00631434"/>
    <w:rsid w:val="006336DE"/>
    <w:rsid w:val="00645A4D"/>
    <w:rsid w:val="00656AC5"/>
    <w:rsid w:val="006754F9"/>
    <w:rsid w:val="0068763D"/>
    <w:rsid w:val="006A6005"/>
    <w:rsid w:val="006A63E3"/>
    <w:rsid w:val="006B0BD9"/>
    <w:rsid w:val="006C5F65"/>
    <w:rsid w:val="006D5DBC"/>
    <w:rsid w:val="006D75BC"/>
    <w:rsid w:val="006E27AA"/>
    <w:rsid w:val="006F2691"/>
    <w:rsid w:val="0071276F"/>
    <w:rsid w:val="00723EC0"/>
    <w:rsid w:val="00733111"/>
    <w:rsid w:val="00733730"/>
    <w:rsid w:val="007345F6"/>
    <w:rsid w:val="00734805"/>
    <w:rsid w:val="007439DA"/>
    <w:rsid w:val="007574D0"/>
    <w:rsid w:val="00762F20"/>
    <w:rsid w:val="0076593E"/>
    <w:rsid w:val="00773F7D"/>
    <w:rsid w:val="007D618D"/>
    <w:rsid w:val="0080522A"/>
    <w:rsid w:val="008106D9"/>
    <w:rsid w:val="008312C2"/>
    <w:rsid w:val="00841D44"/>
    <w:rsid w:val="0085329C"/>
    <w:rsid w:val="0085686D"/>
    <w:rsid w:val="00870262"/>
    <w:rsid w:val="008739BE"/>
    <w:rsid w:val="008822CA"/>
    <w:rsid w:val="008824DC"/>
    <w:rsid w:val="00886C11"/>
    <w:rsid w:val="00891A1D"/>
    <w:rsid w:val="008A46CB"/>
    <w:rsid w:val="008A58E8"/>
    <w:rsid w:val="008B7B50"/>
    <w:rsid w:val="008D2472"/>
    <w:rsid w:val="008D34A0"/>
    <w:rsid w:val="008E78AC"/>
    <w:rsid w:val="008F44CA"/>
    <w:rsid w:val="009036BF"/>
    <w:rsid w:val="00913B19"/>
    <w:rsid w:val="00927BE1"/>
    <w:rsid w:val="00930B3A"/>
    <w:rsid w:val="009341C7"/>
    <w:rsid w:val="00944173"/>
    <w:rsid w:val="0094554A"/>
    <w:rsid w:val="009506E6"/>
    <w:rsid w:val="00953FFA"/>
    <w:rsid w:val="009667B1"/>
    <w:rsid w:val="0097042A"/>
    <w:rsid w:val="00992E4F"/>
    <w:rsid w:val="009A330E"/>
    <w:rsid w:val="009A4B34"/>
    <w:rsid w:val="009A787B"/>
    <w:rsid w:val="009B1A16"/>
    <w:rsid w:val="009B7984"/>
    <w:rsid w:val="009D730B"/>
    <w:rsid w:val="009E475B"/>
    <w:rsid w:val="00A0348A"/>
    <w:rsid w:val="00A04905"/>
    <w:rsid w:val="00A178DB"/>
    <w:rsid w:val="00A44DA3"/>
    <w:rsid w:val="00A60F3E"/>
    <w:rsid w:val="00A62F3F"/>
    <w:rsid w:val="00A72161"/>
    <w:rsid w:val="00A770B0"/>
    <w:rsid w:val="00A82E77"/>
    <w:rsid w:val="00A93653"/>
    <w:rsid w:val="00AA0726"/>
    <w:rsid w:val="00AB5398"/>
    <w:rsid w:val="00AC631F"/>
    <w:rsid w:val="00AE2F58"/>
    <w:rsid w:val="00AF2FC7"/>
    <w:rsid w:val="00AF6D3C"/>
    <w:rsid w:val="00B11C4E"/>
    <w:rsid w:val="00B20841"/>
    <w:rsid w:val="00B4556B"/>
    <w:rsid w:val="00B4774B"/>
    <w:rsid w:val="00B572BF"/>
    <w:rsid w:val="00B62DB8"/>
    <w:rsid w:val="00B71A7C"/>
    <w:rsid w:val="00B81DA6"/>
    <w:rsid w:val="00B84E40"/>
    <w:rsid w:val="00BA1B5A"/>
    <w:rsid w:val="00BA7109"/>
    <w:rsid w:val="00BB53F1"/>
    <w:rsid w:val="00BC3DF9"/>
    <w:rsid w:val="00BF01B0"/>
    <w:rsid w:val="00BF37BC"/>
    <w:rsid w:val="00C00DA4"/>
    <w:rsid w:val="00C040B8"/>
    <w:rsid w:val="00C048DC"/>
    <w:rsid w:val="00C074C9"/>
    <w:rsid w:val="00C07918"/>
    <w:rsid w:val="00C14202"/>
    <w:rsid w:val="00C22635"/>
    <w:rsid w:val="00C22FCE"/>
    <w:rsid w:val="00C51CA8"/>
    <w:rsid w:val="00C53C26"/>
    <w:rsid w:val="00C56555"/>
    <w:rsid w:val="00C64344"/>
    <w:rsid w:val="00C701B4"/>
    <w:rsid w:val="00C8744C"/>
    <w:rsid w:val="00C95206"/>
    <w:rsid w:val="00CA6909"/>
    <w:rsid w:val="00CC5911"/>
    <w:rsid w:val="00CD1B8C"/>
    <w:rsid w:val="00CF263F"/>
    <w:rsid w:val="00D005D1"/>
    <w:rsid w:val="00D01D76"/>
    <w:rsid w:val="00D055EE"/>
    <w:rsid w:val="00D23D12"/>
    <w:rsid w:val="00D24501"/>
    <w:rsid w:val="00D55ACA"/>
    <w:rsid w:val="00D57172"/>
    <w:rsid w:val="00D65D67"/>
    <w:rsid w:val="00D736F4"/>
    <w:rsid w:val="00D7507D"/>
    <w:rsid w:val="00DA37D6"/>
    <w:rsid w:val="00DB09A2"/>
    <w:rsid w:val="00DB2209"/>
    <w:rsid w:val="00DB59BC"/>
    <w:rsid w:val="00DE1FD6"/>
    <w:rsid w:val="00DE6172"/>
    <w:rsid w:val="00DF4DF7"/>
    <w:rsid w:val="00E0145C"/>
    <w:rsid w:val="00E033F6"/>
    <w:rsid w:val="00E24F44"/>
    <w:rsid w:val="00E26550"/>
    <w:rsid w:val="00E41FF8"/>
    <w:rsid w:val="00E55A05"/>
    <w:rsid w:val="00E80246"/>
    <w:rsid w:val="00E85553"/>
    <w:rsid w:val="00EA21C2"/>
    <w:rsid w:val="00EB66DD"/>
    <w:rsid w:val="00EC1574"/>
    <w:rsid w:val="00EC44A2"/>
    <w:rsid w:val="00EC60B7"/>
    <w:rsid w:val="00ED44E8"/>
    <w:rsid w:val="00ED612C"/>
    <w:rsid w:val="00EE2632"/>
    <w:rsid w:val="00EF3944"/>
    <w:rsid w:val="00F009E2"/>
    <w:rsid w:val="00F06CC8"/>
    <w:rsid w:val="00F23CCE"/>
    <w:rsid w:val="00F50583"/>
    <w:rsid w:val="00F57817"/>
    <w:rsid w:val="00F57EDB"/>
    <w:rsid w:val="00F67388"/>
    <w:rsid w:val="00F70666"/>
    <w:rsid w:val="00F80071"/>
    <w:rsid w:val="00F90828"/>
    <w:rsid w:val="00F93231"/>
    <w:rsid w:val="00F949A9"/>
    <w:rsid w:val="00FB7A45"/>
    <w:rsid w:val="00FB7DC3"/>
    <w:rsid w:val="00FC3AA1"/>
    <w:rsid w:val="00FD3BDD"/>
    <w:rsid w:val="00FD4089"/>
    <w:rsid w:val="00FD58C6"/>
    <w:rsid w:val="00FF0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A4875"/>
  <w15:chartTrackingRefBased/>
  <w15:docId w15:val="{068B4E33-6F20-4D8C-98F4-90487F947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42A"/>
    <w:pPr>
      <w:ind w:left="720"/>
      <w:contextualSpacing/>
    </w:pPr>
  </w:style>
  <w:style w:type="character" w:styleId="Hyperlink">
    <w:name w:val="Hyperlink"/>
    <w:basedOn w:val="DefaultParagraphFont"/>
    <w:uiPriority w:val="99"/>
    <w:unhideWhenUsed/>
    <w:rsid w:val="00C22635"/>
    <w:rPr>
      <w:strike w:val="0"/>
      <w:dstrike w:val="0"/>
      <w:color w:val="000000"/>
      <w:u w:val="none"/>
      <w:effect w:val="none"/>
    </w:rPr>
  </w:style>
  <w:style w:type="table" w:styleId="TableGrid">
    <w:name w:val="Table Grid"/>
    <w:basedOn w:val="TableNormal"/>
    <w:uiPriority w:val="39"/>
    <w:rsid w:val="00831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577DFB"/>
    <w:rPr>
      <w:color w:val="2B579A"/>
      <w:shd w:val="clear" w:color="auto" w:fill="E6E6E6"/>
    </w:rPr>
  </w:style>
  <w:style w:type="paragraph" w:styleId="Header">
    <w:name w:val="header"/>
    <w:basedOn w:val="Normal"/>
    <w:link w:val="HeaderChar"/>
    <w:uiPriority w:val="99"/>
    <w:unhideWhenUsed/>
    <w:rsid w:val="00E80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246"/>
  </w:style>
  <w:style w:type="paragraph" w:styleId="Footer">
    <w:name w:val="footer"/>
    <w:basedOn w:val="Normal"/>
    <w:link w:val="FooterChar"/>
    <w:uiPriority w:val="99"/>
    <w:unhideWhenUsed/>
    <w:rsid w:val="00E80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431">
      <w:bodyDiv w:val="1"/>
      <w:marLeft w:val="0"/>
      <w:marRight w:val="0"/>
      <w:marTop w:val="0"/>
      <w:marBottom w:val="0"/>
      <w:divBdr>
        <w:top w:val="none" w:sz="0" w:space="0" w:color="auto"/>
        <w:left w:val="none" w:sz="0" w:space="0" w:color="auto"/>
        <w:bottom w:val="none" w:sz="0" w:space="0" w:color="auto"/>
        <w:right w:val="none" w:sz="0" w:space="0" w:color="auto"/>
      </w:divBdr>
    </w:div>
    <w:div w:id="138956945">
      <w:bodyDiv w:val="1"/>
      <w:marLeft w:val="0"/>
      <w:marRight w:val="0"/>
      <w:marTop w:val="0"/>
      <w:marBottom w:val="0"/>
      <w:divBdr>
        <w:top w:val="none" w:sz="0" w:space="0" w:color="auto"/>
        <w:left w:val="none" w:sz="0" w:space="0" w:color="auto"/>
        <w:bottom w:val="none" w:sz="0" w:space="0" w:color="auto"/>
        <w:right w:val="none" w:sz="0" w:space="0" w:color="auto"/>
      </w:divBdr>
    </w:div>
    <w:div w:id="480073619">
      <w:bodyDiv w:val="1"/>
      <w:marLeft w:val="0"/>
      <w:marRight w:val="0"/>
      <w:marTop w:val="0"/>
      <w:marBottom w:val="0"/>
      <w:divBdr>
        <w:top w:val="none" w:sz="0" w:space="0" w:color="auto"/>
        <w:left w:val="none" w:sz="0" w:space="0" w:color="auto"/>
        <w:bottom w:val="none" w:sz="0" w:space="0" w:color="auto"/>
        <w:right w:val="none" w:sz="0" w:space="0" w:color="auto"/>
      </w:divBdr>
    </w:div>
    <w:div w:id="828013950">
      <w:bodyDiv w:val="1"/>
      <w:marLeft w:val="0"/>
      <w:marRight w:val="0"/>
      <w:marTop w:val="0"/>
      <w:marBottom w:val="0"/>
      <w:divBdr>
        <w:top w:val="none" w:sz="0" w:space="0" w:color="auto"/>
        <w:left w:val="none" w:sz="0" w:space="0" w:color="auto"/>
        <w:bottom w:val="none" w:sz="0" w:space="0" w:color="auto"/>
        <w:right w:val="none" w:sz="0" w:space="0" w:color="auto"/>
      </w:divBdr>
    </w:div>
    <w:div w:id="1259942085">
      <w:bodyDiv w:val="1"/>
      <w:marLeft w:val="0"/>
      <w:marRight w:val="0"/>
      <w:marTop w:val="0"/>
      <w:marBottom w:val="0"/>
      <w:divBdr>
        <w:top w:val="none" w:sz="0" w:space="0" w:color="auto"/>
        <w:left w:val="none" w:sz="0" w:space="0" w:color="auto"/>
        <w:bottom w:val="none" w:sz="0" w:space="0" w:color="auto"/>
        <w:right w:val="none" w:sz="0" w:space="0" w:color="auto"/>
      </w:divBdr>
    </w:div>
    <w:div w:id="1351495260">
      <w:bodyDiv w:val="1"/>
      <w:marLeft w:val="0"/>
      <w:marRight w:val="0"/>
      <w:marTop w:val="0"/>
      <w:marBottom w:val="0"/>
      <w:divBdr>
        <w:top w:val="none" w:sz="0" w:space="0" w:color="auto"/>
        <w:left w:val="none" w:sz="0" w:space="0" w:color="auto"/>
        <w:bottom w:val="none" w:sz="0" w:space="0" w:color="auto"/>
        <w:right w:val="none" w:sz="0" w:space="0" w:color="auto"/>
      </w:divBdr>
    </w:div>
    <w:div w:id="210063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usinessdictionary.com/definition/social-sustainability.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cademia.edu/4362669/Reframing_Social_Sustainability_Reporting_Towards_an_Engaged_Approach" TargetMode="External"/><Relationship Id="rId2" Type="http://schemas.openxmlformats.org/officeDocument/2006/relationships/numbering" Target="numbering.xml"/><Relationship Id="rId16" Type="http://schemas.openxmlformats.org/officeDocument/2006/relationships/hyperlink" Target="http://ascelibrary.org/author/Wallace%2C+Bi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scelibrary.org/author/Hendrickson%2C+Chri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scelibrary.org/author/Crittenden%2C+Joh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F2F0D-6368-4529-B04E-5C7D3752F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47</Pages>
  <Words>9768</Words>
  <Characters>55684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dc:creator>
  <cp:keywords/>
  <dc:description/>
  <cp:lastModifiedBy>Ash</cp:lastModifiedBy>
  <cp:revision>227</cp:revision>
  <dcterms:created xsi:type="dcterms:W3CDTF">2017-04-15T14:35:00Z</dcterms:created>
  <dcterms:modified xsi:type="dcterms:W3CDTF">2017-05-01T00:03:00Z</dcterms:modified>
</cp:coreProperties>
</file>